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52558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255895"/>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PYOTT DAVID E I</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(Last)</w:t>
            </w:r>
          </w:p>
        </w:tc>
        <w:tc>
          <w:tcPr>
            <w:tcW w:w="1240" w:type="dxa"/>
            <w:vAlign w:val="bottom"/>
          </w:tcPr>
          <w:p>
            <w:pPr>
              <w:ind w:left="120"/>
              <w:spacing w:after="0"/>
              <w:rPr>
                <w:sz w:val="20"/>
                <w:szCs w:val="20"/>
                <w:color w:val="auto"/>
              </w:rPr>
            </w:pPr>
            <w:r>
              <w:rPr>
                <w:rFonts w:ascii="Arial" w:cs="Arial" w:eastAsia="Arial" w:hAnsi="Arial"/>
                <w:sz w:val="13"/>
                <w:szCs w:val="13"/>
                <w:color w:val="auto"/>
              </w:rPr>
              <w:t>(First)</w:t>
            </w:r>
          </w:p>
        </w:tc>
        <w:tc>
          <w:tcPr>
            <w:tcW w:w="128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320"/>
        </w:trPr>
        <w:tc>
          <w:tcPr>
            <w:tcW w:w="20" w:type="dxa"/>
            <w:vAlign w:val="bottom"/>
          </w:tcPr>
          <w:p>
            <w:pPr>
              <w:spacing w:after="0"/>
              <w:rPr>
                <w:sz w:val="24"/>
                <w:szCs w:val="24"/>
                <w:color w:val="auto"/>
              </w:rPr>
            </w:pP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675 WEST KENDALL STREET</w:t>
            </w:r>
          </w:p>
        </w:tc>
        <w:tc>
          <w:tcPr>
            <w:tcW w:w="128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r>
      <w:tr>
        <w:trPr>
          <w:trHeight w:val="25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12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MA</w:t>
            </w:r>
          </w:p>
        </w:tc>
        <w:tc>
          <w:tcPr>
            <w:tcW w:w="12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02142</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120"/>
              <w:spacing w:after="0"/>
              <w:rPr>
                <w:sz w:val="20"/>
                <w:szCs w:val="20"/>
                <w:color w:val="auto"/>
              </w:rPr>
            </w:pPr>
            <w:r>
              <w:rPr>
                <w:rFonts w:ascii="Arial" w:cs="Arial" w:eastAsia="Arial" w:hAnsi="Arial"/>
                <w:sz w:val="13"/>
                <w:szCs w:val="13"/>
                <w:color w:val="auto"/>
              </w:rPr>
              <w:t>(State)</w:t>
            </w:r>
          </w:p>
        </w:tc>
        <w:tc>
          <w:tcPr>
            <w:tcW w:w="128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3620" w:type="dxa"/>
            <w:vAlign w:val="bottom"/>
            <w:tcBorders>
              <w:bottom w:val="single" w:sz="8" w:color="0000EE"/>
            </w:tcBorders>
            <w:gridSpan w:val="2"/>
          </w:tcPr>
          <w:p>
            <w:pPr>
              <w:spacing w:after="0" w:line="219" w:lineRule="exact"/>
              <w:rPr>
                <w:rFonts w:ascii="Times New Roman" w:cs="Times New Roman" w:eastAsia="Times New Roman" w:hAnsi="Times New Roman"/>
                <w:sz w:val="21"/>
                <w:szCs w:val="21"/>
                <w:color w:val="0000EE"/>
                <w:w w:val="97"/>
              </w:rPr>
            </w:pPr>
            <w:hyperlink r:id="rId14">
              <w:r>
                <w:rPr>
                  <w:rFonts w:ascii="Times New Roman" w:cs="Times New Roman" w:eastAsia="Times New Roman" w:hAnsi="Times New Roman"/>
                  <w:sz w:val="21"/>
                  <w:szCs w:val="21"/>
                  <w:color w:val="0000EE"/>
                  <w:w w:val="97"/>
                </w:rPr>
                <w:t>ALNYLAM PHARMACEUTICALS, INC.</w:t>
              </w:r>
            </w:hyperlink>
          </w:p>
        </w:tc>
        <w:tc>
          <w:tcPr>
            <w:tcW w:w="140" w:type="dxa"/>
            <w:vAlign w:val="bottom"/>
          </w:tcPr>
          <w:p>
            <w:pPr>
              <w:spacing w:after="0"/>
              <w:rPr>
                <w:sz w:val="19"/>
                <w:szCs w:val="19"/>
                <w:color w:val="auto"/>
              </w:rPr>
            </w:pP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180" w:type="dxa"/>
            <w:vAlign w:val="bottom"/>
            <w:gridSpan w:val="2"/>
            <w:vMerge w:val="restart"/>
          </w:tcPr>
          <w:p>
            <w:pPr>
              <w:ind w:left="60"/>
              <w:spacing w:after="0"/>
              <w:rPr>
                <w:sz w:val="20"/>
                <w:szCs w:val="20"/>
                <w:color w:val="auto"/>
              </w:rPr>
            </w:pPr>
            <w:r>
              <w:rPr>
                <w:rFonts w:ascii="Times New Roman" w:cs="Times New Roman" w:eastAsia="Times New Roman" w:hAnsi="Times New Roman"/>
                <w:sz w:val="21"/>
                <w:szCs w:val="21"/>
                <w:color w:val="auto"/>
              </w:rPr>
              <w:t>[</w:t>
            </w:r>
          </w:p>
        </w:tc>
        <w:tc>
          <w:tcPr>
            <w:tcW w:w="36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ALNY </w:t>
            </w:r>
            <w:r>
              <w:rPr>
                <w:rFonts w:ascii="Times New Roman" w:cs="Times New Roman" w:eastAsia="Times New Roman" w:hAnsi="Times New Roman"/>
                <w:sz w:val="20"/>
                <w:szCs w:val="20"/>
                <w:color w:val="000000"/>
              </w:rPr>
              <w:t>]</w:t>
            </w:r>
          </w:p>
        </w:tc>
        <w:tc>
          <w:tcPr>
            <w:tcW w:w="180" w:type="dxa"/>
            <w:vAlign w:val="bottom"/>
          </w:tcPr>
          <w:p>
            <w:pPr>
              <w:spacing w:after="0"/>
              <w:rPr>
                <w:sz w:val="12"/>
                <w:szCs w:val="12"/>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Director</w:t>
            </w:r>
          </w:p>
        </w:tc>
        <w:tc>
          <w:tcPr>
            <w:tcW w:w="14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2"/>
        </w:trPr>
        <w:tc>
          <w:tcPr>
            <w:tcW w:w="180" w:type="dxa"/>
            <w:vAlign w:val="bottom"/>
            <w:gridSpan w:val="2"/>
            <w:vMerge w:val="continue"/>
          </w:tcPr>
          <w:p>
            <w:pPr>
              <w:spacing w:after="0"/>
              <w:rPr>
                <w:sz w:val="9"/>
                <w:szCs w:val="9"/>
                <w:color w:val="auto"/>
              </w:rPr>
            </w:pPr>
          </w:p>
        </w:tc>
        <w:tc>
          <w:tcPr>
            <w:tcW w:w="36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7"/>
        </w:trPr>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2"/>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80" w:type="dxa"/>
            <w:vAlign w:val="bottom"/>
            <w:gridSpan w:val="2"/>
            <w:vMerge w:val="continue"/>
          </w:tcPr>
          <w:p>
            <w:pPr>
              <w:spacing w:after="0"/>
              <w:rPr>
                <w:sz w:val="7"/>
                <w:szCs w:val="7"/>
                <w:color w:val="auto"/>
              </w:rPr>
            </w:pPr>
          </w:p>
        </w:tc>
        <w:tc>
          <w:tcPr>
            <w:tcW w:w="36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3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05/20/2026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50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312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3"/>
                <w:szCs w:val="13"/>
                <w:color w:val="auto"/>
              </w:rPr>
            </w:pP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3"/>
                <w:szCs w:val="13"/>
                <w:color w:val="auto"/>
              </w:rPr>
            </w:pPr>
          </w:p>
        </w:tc>
        <w:tc>
          <w:tcPr>
            <w:tcW w:w="172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104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40" w:type="dxa"/>
            <w:vAlign w:val="bottom"/>
          </w:tcPr>
          <w:p>
            <w:pPr>
              <w:spacing w:after="0"/>
              <w:rPr>
                <w:sz w:val="11"/>
                <w:szCs w:val="11"/>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35"/>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05/20/2026</w:t>
            </w:r>
          </w:p>
        </w:tc>
        <w:tc>
          <w:tcPr>
            <w:tcW w:w="5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0"/>
              </w:rPr>
              <w:t>671</w:t>
            </w:r>
            <w:r>
              <w:rPr>
                <w:rFonts w:ascii="Times New Roman" w:cs="Times New Roman" w:eastAsia="Times New Roman" w:hAnsi="Times New Roman"/>
                <w:sz w:val="21"/>
                <w:szCs w:val="21"/>
                <w:color w:val="008000"/>
                <w:w w:val="90"/>
                <w:vertAlign w:val="superscript"/>
              </w:rPr>
              <w:t>(1)</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jc w:val="right"/>
              <w:ind w:right="361"/>
              <w:spacing w:after="0"/>
              <w:rPr>
                <w:sz w:val="20"/>
                <w:szCs w:val="20"/>
                <w:color w:val="auto"/>
              </w:rPr>
            </w:pPr>
            <w:r>
              <w:rPr>
                <w:rFonts w:ascii="Times New Roman" w:cs="Times New Roman" w:eastAsia="Times New Roman" w:hAnsi="Times New Roman"/>
                <w:sz w:val="17"/>
                <w:szCs w:val="17"/>
                <w:color w:val="0000FF"/>
              </w:rPr>
              <w:t>1,582</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40" w:type="dxa"/>
            <w:vAlign w:val="bottom"/>
            <w:gridSpan w:val="3"/>
            <w:vMerge w:val="restart"/>
          </w:tcPr>
          <w:p>
            <w:pPr>
              <w:jc w:val="right"/>
              <w:ind w:right="321"/>
              <w:spacing w:after="0"/>
              <w:rPr>
                <w:sz w:val="20"/>
                <w:szCs w:val="20"/>
                <w:color w:val="auto"/>
              </w:rPr>
            </w:pPr>
            <w:r>
              <w:rPr>
                <w:rFonts w:ascii="Times New Roman" w:cs="Times New Roman" w:eastAsia="Times New Roman" w:hAnsi="Times New Roman"/>
                <w:sz w:val="17"/>
                <w:szCs w:val="17"/>
                <w:color w:val="0000FF"/>
              </w:rPr>
              <w:t>27,900</w:t>
            </w:r>
          </w:p>
        </w:tc>
        <w:tc>
          <w:tcPr>
            <w:tcW w:w="30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20" w:type="dxa"/>
            <w:vAlign w:val="bottom"/>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0"/>
          </w:tcPr>
          <w:p>
            <w:pPr>
              <w:jc w:val="right"/>
              <w:ind w:right="3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1640" w:type="dxa"/>
            <w:vAlign w:val="bottom"/>
            <w:tcBorders>
              <w:bottom w:val="single" w:sz="8" w:color="2C2C2C"/>
            </w:tcBorders>
            <w:gridSpan w:val="4"/>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9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3"/>
              </w:rPr>
              <w:t>Expiration Date</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8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0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298.48</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05/20/2026</w:t>
            </w:r>
          </w:p>
        </w:tc>
        <w:tc>
          <w:tcPr>
            <w:tcW w:w="1140" w:type="dxa"/>
            <w:vAlign w:val="bottom"/>
          </w:tcPr>
          <w:p>
            <w:pPr>
              <w:spacing w:after="0"/>
              <w:rPr>
                <w:sz w:val="17"/>
                <w:szCs w:val="17"/>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1,441</w:t>
            </w:r>
          </w:p>
        </w:tc>
        <w:tc>
          <w:tcPr>
            <w:tcW w:w="260" w:type="dxa"/>
            <w:vAlign w:val="bottom"/>
          </w:tcPr>
          <w:p>
            <w:pPr>
              <w:spacing w:after="0"/>
              <w:rPr>
                <w:sz w:val="17"/>
                <w:szCs w:val="17"/>
                <w:color w:val="auto"/>
              </w:rPr>
            </w:pPr>
          </w:p>
        </w:tc>
        <w:tc>
          <w:tcPr>
            <w:tcW w:w="920" w:type="dxa"/>
            <w:vAlign w:val="bottom"/>
            <w:gridSpan w:val="2"/>
          </w:tcPr>
          <w:p>
            <w:pPr>
              <w:ind w:left="80"/>
              <w:spacing w:after="0" w:line="207" w:lineRule="exact"/>
              <w:rPr>
                <w:sz w:val="20"/>
                <w:szCs w:val="20"/>
                <w:color w:val="auto"/>
              </w:rPr>
            </w:pPr>
            <w:r>
              <w:rPr>
                <w:rFonts w:ascii="Times New Roman" w:cs="Times New Roman" w:eastAsia="Times New Roman" w:hAnsi="Times New Roman"/>
                <w:sz w:val="13"/>
                <w:szCs w:val="13"/>
                <w:color w:val="0000FF"/>
              </w:rPr>
              <w:t>05/20/2027</w:t>
            </w:r>
            <w:r>
              <w:rPr>
                <w:rFonts w:ascii="Times New Roman" w:cs="Times New Roman" w:eastAsia="Times New Roman" w:hAnsi="Times New Roman"/>
                <w:sz w:val="21"/>
                <w:szCs w:val="21"/>
                <w:color w:val="008000"/>
                <w:vertAlign w:val="superscript"/>
              </w:rPr>
              <w:t>(3)</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05/20/2036</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0000FF"/>
              </w:rPr>
              <w:t>1,441</w:t>
            </w:r>
          </w:p>
        </w:tc>
        <w:tc>
          <w:tcPr>
            <w:tcW w:w="78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1,441</w:t>
            </w:r>
          </w:p>
        </w:tc>
        <w:tc>
          <w:tcPr>
            <w:tcW w:w="30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ind w:left="12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6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represented by restricted stock units (RSUs) granted under the Second Amended and Restated 2018 Stock Incentive Plan. Each RSU represents a contingent right to receive one share of common stock. The RSUs will vest in full upon the earlier of the first anniversary of the grant date and the date of any earlier retirement or resignation of the Reporting Person, provided such date of retirement or resignation occurs no more than 90 days prior to the first anniversary of the grant date.</w:t>
      </w:r>
    </w:p>
    <w:p>
      <w:pPr>
        <w:spacing w:after="0" w:line="25"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ALNY common stock were purchased by the David E I Pyott Trust, of which the reporting person is trustee.</w:t>
      </w:r>
    </w:p>
    <w:p>
      <w:pPr>
        <w:spacing w:after="0" w:line="44" w:lineRule="exact"/>
        <w:rPr>
          <w:rFonts w:ascii="Times New Roman" w:cs="Times New Roman" w:eastAsia="Times New Roman" w:hAnsi="Times New Roman"/>
          <w:sz w:val="13"/>
          <w:szCs w:val="13"/>
          <w:color w:val="008000"/>
        </w:rPr>
      </w:pPr>
    </w:p>
    <w:p>
      <w:pPr>
        <w:ind w:left="40" w:right="48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will vest in full upon the earlier of the first anniversary of the grant date and the date of any earlier retirement or resignation of the Reporting Person, provided such date of retirement or resignation occurs no more than 90 days prior to the first anniversary of the grant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Brett Budzinski,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05/22/2026</w:t>
            </w:r>
          </w:p>
        </w:tc>
        <w:tc>
          <w:tcPr>
            <w:tcW w:w="0" w:type="dxa"/>
            <w:vAlign w:val="bottom"/>
          </w:tcPr>
          <w:p>
            <w:pPr>
              <w:spacing w:after="0"/>
              <w:rPr>
                <w:sz w:val="1"/>
                <w:szCs w:val="1"/>
                <w:color w:val="auto"/>
              </w:rPr>
            </w:pPr>
          </w:p>
        </w:tc>
      </w:tr>
      <w:tr>
        <w:trPr>
          <w:trHeight w:val="88"/>
        </w:trPr>
        <w:tc>
          <w:tcPr>
            <w:tcW w:w="198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 For: David E.I. Pyott</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4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051578" TargetMode="External"/><Relationship Id="rId14" Type="http://schemas.openxmlformats.org/officeDocument/2006/relationships/hyperlink" Target="http://www.sec.gov/cgi-bin/browse-edgar?action=getcompany&amp;CIK=00011786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2026-05-22T15:27:41Z</dcterms:created>
  <dcterms:modified xsi:type="dcterms:W3CDTF">2026-05-22T15:27:41Z</dcterms:modified>
</cp:coreProperties>
</file>