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ALNYLAM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14,103,896.98</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14,640,524.87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14,640,524.87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14,640,524.87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14,640,524.87</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11.0 %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ALNYLAM PHARMACEUTICALS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675 West Kendall Street,Henri A. Termeer Square,Cambridge,MA,US,02142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14640524.87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11.0 %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14640524.87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ALNYLAM PHARMACEUTICALS INC. No one other person's interest in the COMMON STOCK of ALNYLAM PHARMACEUTICALS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87"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effective as of April 13, 2026, by and on behalf of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3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Solutions LLC  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Diversifying</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Management &amp;</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Research Company LLC * IA</w:t>
            </w:r>
          </w:p>
        </w:tc>
        <w:tc>
          <w:tcPr>
            <w:tcW w:w="0" w:type="dxa"/>
            <w:vAlign w:val="bottom"/>
          </w:tcPr>
          <w:p>
            <w:pPr>
              <w:spacing w:after="0"/>
              <w:rPr>
                <w:sz w:val="1"/>
                <w:szCs w:val="1"/>
                <w:color w:val="auto"/>
              </w:rPr>
            </w:pPr>
          </w:p>
        </w:tc>
      </w:tr>
    </w:tbl>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38" w:lineRule="auto"/>
        <w:tabs>
          <w:tab w:leader="none" w:pos="4200" w:val="left"/>
        </w:tabs>
        <w:rPr>
          <w:sz w:val="20"/>
          <w:szCs w:val="20"/>
          <w:color w:val="auto"/>
        </w:rPr>
      </w:pPr>
      <w:r>
        <w:rPr>
          <w:rFonts w:ascii="Courier New" w:cs="Courier New" w:eastAsia="Courier New" w:hAnsi="Courier New"/>
          <w:sz w:val="18"/>
          <w:szCs w:val="18"/>
          <w:color w:val="auto"/>
        </w:rPr>
        <w:t>FMR Investment Management (UK) Limited</w:t>
        <w:tab/>
        <w:t>FI</w:t>
      </w:r>
    </w:p>
    <w:p>
      <w:pPr>
        <w:spacing w:after="0" w:line="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May 5, 2026, agree and consent to the joint filing on their behalf of this Schedule 13G in connection with their beneficial ownership of the COMMON STOCK of ALNYLAM PHARMACEUTICALS INC at March 31,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2026-05-06T10:02:25Z</dcterms:created>
  <dcterms:modified xsi:type="dcterms:W3CDTF">2026-05-06T10:02:25Z</dcterms:modified>
</cp:coreProperties>
</file>