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SCHULMAN AMY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WEST KENDALL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ALNYLAM PHARMACEUTICALS, INC.</w:t>
              </w:r>
            </w:hyperlink>
            <w:r>
              <w:rPr/>
              <w:t xml:space="preserve"> [ </w:t>
            </w:r>
            <w:r>
              <w:rPr>
                <w:rFonts w:ascii="Times;serif" w:hAnsi="Times;serif"/>
                <w:color w:val="0000FF"/>
                <w:sz w:val="24"/>
                <w:shd w:fill="FFFFFF" w:val="clear"/>
              </w:rPr>
              <w:t>ALNY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838</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24,049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298.48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05/20/2027</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represented by restricted stock units (RSUs) granted under the Second Amended and Restated 2018 Stock Incentive Plan. Each RSU represents a contingent right to receive one share of common stock. The RSUs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Budzinski, attorney-in-fact for Amy W. Schulman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8226" TargetMode="External"/><Relationship Id="rId5" Type="http://schemas.openxmlformats.org/officeDocument/2006/relationships/hyperlink" Target="http://www.sec.gov/cgi-bin/browse-edgar?action=getcompany&amp;CIK=00011786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718</Words>
  <Characters>3817</Characters>
  <CharactersWithSpaces>4467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