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PYOTT DAVID E 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sz w:val="4"/>
                      <w:szCs w:val="4"/>
                    </w:rPr>
                  </w:pPr>
                  <w:r>
                    <w:rPr>
                      <w:sz w:val="4"/>
                      <w:szCs w:val="4"/>
                    </w:rPr>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675 WEST KENDALL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02142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ALNYLAM PHARMACEUTICALS, INC.</w:t>
              </w:r>
            </w:hyperlink>
            <w:r>
              <w:rPr/>
              <w:t xml:space="preserve"> [ </w:t>
            </w:r>
            <w:r>
              <w:rPr>
                <w:rFonts w:ascii="Times;serif" w:hAnsi="Times;serif"/>
                <w:color w:val="0000FF"/>
                <w:sz w:val="24"/>
                <w:shd w:fill="FFFFFF" w:val="clear"/>
              </w:rPr>
              <w:t>ALNY</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841"/>
        <w:gridCol w:w="451"/>
        <w:gridCol w:w="881"/>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3,830</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5,412</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921</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297.71</w:t>
            </w:r>
            <w:r>
              <w:rPr>
                <w:rFonts w:ascii="Times;serif" w:hAnsi="Times;serif"/>
                <w:color w:val="008000"/>
                <w:position w:val="7"/>
                <w:sz w:val="16"/>
                <w:sz w:val="20"/>
                <w:shd w:fill="FFFFFF" w:val="clear"/>
              </w:rPr>
              <w:t>(2)</w:t>
            </w:r>
            <w:r>
              <w:rPr/>
              <w:t xml:space="preserve"> </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4,491</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1,175</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298.91</w:t>
            </w:r>
            <w:r>
              <w:rPr>
                <w:rFonts w:ascii="Times;serif" w:hAnsi="Times;serif"/>
                <w:color w:val="008000"/>
                <w:position w:val="7"/>
                <w:sz w:val="16"/>
                <w:sz w:val="20"/>
                <w:shd w:fill="FFFFFF" w:val="clear"/>
              </w:rPr>
              <w:t>(3)</w:t>
            </w:r>
            <w:r>
              <w:rPr/>
              <w:t xml:space="preserve"> </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3,316</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1,222</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299.87</w:t>
            </w:r>
            <w:r>
              <w:rPr>
                <w:rFonts w:ascii="Times;serif" w:hAnsi="Times;serif"/>
                <w:color w:val="008000"/>
                <w:position w:val="7"/>
                <w:sz w:val="16"/>
                <w:sz w:val="20"/>
                <w:shd w:fill="FFFFFF" w:val="clear"/>
              </w:rPr>
              <w:t>(4)</w:t>
            </w:r>
            <w:r>
              <w:rPr/>
              <w:t xml:space="preserve"> </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2,094</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495</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300.72</w:t>
            </w:r>
            <w:r>
              <w:rPr>
                <w:rFonts w:ascii="Times;serif" w:hAnsi="Times;serif"/>
                <w:color w:val="008000"/>
                <w:position w:val="7"/>
                <w:sz w:val="16"/>
                <w:sz w:val="20"/>
                <w:shd w:fill="FFFFFF" w:val="clear"/>
              </w:rPr>
              <w:t>(5)</w:t>
            </w:r>
            <w:r>
              <w:rPr/>
              <w:t xml:space="preserve"> </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1,599</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302.65</w:t>
            </w:r>
            <w:r>
              <w:rPr/>
              <w:t xml:space="preserve"> </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1,582</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27,900</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(6)</w:t>
            </w:r>
            <w:r>
              <w:rPr/>
              <w:t xml:space="preserve"> </w:t>
            </w:r>
          </w:p>
        </w:tc>
      </w:tr>
    </w:tbl>
    <w:tbl>
      <w:tblPr>
        <w:tblW w:w="1180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80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70.2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3,830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06/03/2017</w:t>
            </w:r>
            <w:r>
              <w:rPr>
                <w:rFonts w:ascii="Times;serif" w:hAnsi="Times;serif"/>
                <w:color w:val="008000"/>
                <w:position w:val="7"/>
                <w:sz w:val="16"/>
                <w:sz w:val="20"/>
                <w:shd w:fill="FFFFFF" w:val="clear"/>
              </w:rPr>
              <w:t>(7)</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06/03/2026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3,830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transactions reported on this Form 4 were made pursuant to a Rule 10b5-1(c) trading plan adopted by the reporting person on November 12, 2025. The options exercised by the reporting person were due to expire on June 3,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represents the weighted average sales price of shares sold in multiple transactions at prices ranging from $297.31 to $297.99. The reporting person will provide to the issuer, any security holder of the issuer or the SEC staff, upon request, information regarding the number of shares sold at each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represents the weighted average sales price of shares sold in multiple transactions at prices ranging from $298.33 to $299.33. The reporting person will provide to the issuer, any security holder of the issuer or the SEC staff, upon request, information regarding the number of shares sold at each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represents the weighted average sales price of shares sold in multiple transactions at prices ranging from $299.36 to $300.19. The reporting person will provide to the issuer, any security holder of the issuer or the SEC staff, upon request, information regarding the number of shares sold at each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represents the weighted average sales price of shares sold in multiple transactions at prices ranging from $300.45 to $301.15. The reporting person will provide to the issuer, any security holder of the issuer or the SEC staff, upon request, information regarding the number of shares sold at each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shares of ALNY common stock were purchased by the David E I Pyott Trust, of which the reporting person is trustee.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This stock option was fully vested and exercisable as of June 3, 2017.</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Brett Budzinski, Attorney-in-Fact For: David E.I. Pyott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051578" TargetMode="External"/><Relationship Id="rId5" Type="http://schemas.openxmlformats.org/officeDocument/2006/relationships/hyperlink" Target="http://www.sec.gov/cgi-bin/browse-edgar?action=getcompany&amp;CIK=000117867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931</Words>
  <Characters>4899</Characters>
  <CharactersWithSpaces>5725</CharactersWithSpaces>
  <Paragraphs>156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