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25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5589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Sigal Charles Elliott</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120"/>
              <w:spacing w:after="0"/>
              <w:rPr>
                <w:sz w:val="20"/>
                <w:szCs w:val="20"/>
                <w:color w:val="auto"/>
              </w:rPr>
            </w:pPr>
            <w:r>
              <w:rPr>
                <w:rFonts w:ascii="Arial" w:cs="Arial" w:eastAsia="Arial" w:hAnsi="Arial"/>
                <w:sz w:val="13"/>
                <w:szCs w:val="13"/>
                <w:color w:val="auto"/>
              </w:rPr>
              <w:t>(First)</w:t>
            </w:r>
          </w:p>
        </w:tc>
        <w:tc>
          <w:tcPr>
            <w:tcW w:w="128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320"/>
        </w:trPr>
        <w:tc>
          <w:tcPr>
            <w:tcW w:w="2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675 WEST KENDALL STREET</w:t>
            </w:r>
          </w:p>
        </w:tc>
        <w:tc>
          <w:tcPr>
            <w:tcW w:w="128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12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2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120"/>
              <w:spacing w:after="0"/>
              <w:rPr>
                <w:sz w:val="20"/>
                <w:szCs w:val="20"/>
                <w:color w:val="auto"/>
              </w:rPr>
            </w:pPr>
            <w:r>
              <w:rPr>
                <w:rFonts w:ascii="Arial" w:cs="Arial" w:eastAsia="Arial" w:hAnsi="Arial"/>
                <w:sz w:val="13"/>
                <w:szCs w:val="13"/>
                <w:color w:val="auto"/>
              </w:rPr>
              <w:t>(State)</w:t>
            </w:r>
          </w:p>
        </w:tc>
        <w:tc>
          <w:tcPr>
            <w:tcW w:w="128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620" w:type="dxa"/>
            <w:vAlign w:val="bottom"/>
            <w:tcBorders>
              <w:bottom w:val="single" w:sz="8" w:color="0000EE"/>
            </w:tcBorders>
            <w:gridSpan w:val="2"/>
          </w:tcPr>
          <w:p>
            <w:pPr>
              <w:spacing w:after="0" w:line="219" w:lineRule="exact"/>
              <w:rPr>
                <w:rFonts w:ascii="Times New Roman" w:cs="Times New Roman" w:eastAsia="Times New Roman" w:hAnsi="Times New Roman"/>
                <w:sz w:val="21"/>
                <w:szCs w:val="21"/>
                <w:color w:val="0000EE"/>
                <w:w w:val="97"/>
              </w:rPr>
            </w:pPr>
            <w:hyperlink r:id="rId14">
              <w:r>
                <w:rPr>
                  <w:rFonts w:ascii="Times New Roman" w:cs="Times New Roman" w:eastAsia="Times New Roman" w:hAnsi="Times New Roman"/>
                  <w:sz w:val="21"/>
                  <w:szCs w:val="21"/>
                  <w:color w:val="0000EE"/>
                  <w:w w:val="97"/>
                </w:rPr>
                <w:t>ALNYLAM PHARMACEUTICALS, INC.</w:t>
              </w:r>
            </w:hyperlink>
          </w:p>
        </w:tc>
        <w:tc>
          <w:tcPr>
            <w:tcW w:w="14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ALNY </w:t>
            </w:r>
            <w:r>
              <w:rPr>
                <w:rFonts w:ascii="Times New Roman" w:cs="Times New Roman" w:eastAsia="Times New Roman" w:hAnsi="Times New Roman"/>
                <w:sz w:val="20"/>
                <w:szCs w:val="20"/>
                <w:color w:val="000000"/>
              </w:rPr>
              <w:t>]</w:t>
            </w:r>
          </w:p>
        </w:tc>
        <w:tc>
          <w:tcPr>
            <w:tcW w:w="180" w:type="dxa"/>
            <w:vAlign w:val="bottom"/>
          </w:tcPr>
          <w:p>
            <w:pPr>
              <w:spacing w:after="0"/>
              <w:rPr>
                <w:sz w:val="12"/>
                <w:szCs w:val="12"/>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05/20/2026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5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5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0"/>
              </w:rPr>
              <w:t>671</w:t>
            </w:r>
            <w:r>
              <w:rPr>
                <w:rFonts w:ascii="Times New Roman" w:cs="Times New Roman" w:eastAsia="Times New Roman" w:hAnsi="Times New Roman"/>
                <w:sz w:val="21"/>
                <w:szCs w:val="21"/>
                <w:color w:val="008000"/>
                <w:w w:val="90"/>
                <w:vertAlign w:val="superscript"/>
              </w:rPr>
              <w:t>(1)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40"/>
              <w:spacing w:after="0"/>
              <w:rPr>
                <w:sz w:val="20"/>
                <w:szCs w:val="20"/>
                <w:color w:val="auto"/>
              </w:rPr>
            </w:pPr>
            <w:r>
              <w:rPr>
                <w:rFonts w:ascii="Times New Roman" w:cs="Times New Roman" w:eastAsia="Times New Roman" w:hAnsi="Times New Roman"/>
                <w:sz w:val="17"/>
                <w:szCs w:val="17"/>
                <w:color w:val="0000FF"/>
              </w:rPr>
              <w:t>1,446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7"/>
                <w:szCs w:val="17"/>
                <w:color w:val="0000FF"/>
              </w:rPr>
              <w:t>2,000</w:t>
            </w:r>
          </w:p>
        </w:tc>
        <w:tc>
          <w:tcPr>
            <w:tcW w:w="30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298.48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05/20/2026</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1,441</w:t>
            </w:r>
          </w:p>
        </w:tc>
        <w:tc>
          <w:tcPr>
            <w:tcW w:w="260" w:type="dxa"/>
            <w:vAlign w:val="bottom"/>
          </w:tcPr>
          <w:p>
            <w:pPr>
              <w:spacing w:after="0"/>
              <w:rPr>
                <w:sz w:val="17"/>
                <w:szCs w:val="17"/>
                <w:color w:val="auto"/>
              </w:rPr>
            </w:pPr>
          </w:p>
        </w:tc>
        <w:tc>
          <w:tcPr>
            <w:tcW w:w="9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3"/>
                <w:szCs w:val="13"/>
                <w:color w:val="0000FF"/>
              </w:rPr>
              <w:t>05/20/2027</w:t>
            </w:r>
            <w:r>
              <w:rPr>
                <w:rFonts w:ascii="Times New Roman" w:cs="Times New Roman" w:eastAsia="Times New Roman" w:hAnsi="Times New Roman"/>
                <w:sz w:val="21"/>
                <w:szCs w:val="21"/>
                <w:color w:val="008000"/>
                <w:vertAlign w:val="superscript"/>
              </w:rPr>
              <w:t>(3)</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05/20/2036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1,441</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1,441</w:t>
            </w:r>
          </w:p>
        </w:tc>
        <w:tc>
          <w:tcPr>
            <w:tcW w:w="30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(RSUs) granted under the Second Amended and Restated 2018 Stock Incentive Plan. Each RSU represents a contingent right to receive one share of common stock. The RSUs will vest in full upon the earlier of the first anniversary of the grant date and the date of any earlier retirement or resignation of the Reporting Person, provided such date of retirement or resignation occurs no more than 90 days prior to the first anniversary of the grant date.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Sigal Family Investments, LLC, of which the reporting person is Managing Member.</w:t>
      </w:r>
    </w:p>
    <w:p>
      <w:pPr>
        <w:spacing w:after="0" w:line="44" w:lineRule="exact"/>
        <w:rPr>
          <w:rFonts w:ascii="Times New Roman" w:cs="Times New Roman" w:eastAsia="Times New Roman" w:hAnsi="Times New Roman"/>
          <w:sz w:val="13"/>
          <w:szCs w:val="13"/>
          <w:color w:val="008000"/>
        </w:rPr>
      </w:pPr>
    </w:p>
    <w:p>
      <w:pPr>
        <w:ind w:left="40" w:right="4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will vest in full upon the earlier of the first anniversary of the grant date and the date of any earlier retirement or resignation of the Reporting Person, provided such date of retirement or resignation occurs no more than 90 days prior to the first anniversary of the grant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Brett Budzinski,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20" w:type="dxa"/>
            <w:vAlign w:val="bottom"/>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8"/>
              </w:rPr>
              <w:t>Fact For: Charles Elliott Sigal</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20" w:type="dxa"/>
            <w:vAlign w:val="bottom"/>
            <w:tcBorders>
              <w:bottom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61908" TargetMode="External"/><Relationship Id="rId14" Type="http://schemas.openxmlformats.org/officeDocument/2006/relationships/hyperlink" Target="http://www.sec.gov/cgi-bin/browse-edgar?action=getcompany&amp;CIK=00011786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2026-05-22T15:46:51Z</dcterms:created>
  <dcterms:modified xsi:type="dcterms:W3CDTF">2026-05-22T15:46:51Z</dcterms:modified>
</cp:coreProperties>
</file>