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w:t>
      </w:r>
    </w:p>
    <w:p>
      <w:pPr>
        <w:spacing w:after="0" w:line="16" w:lineRule="exact"/>
        <w:rPr>
          <w:sz w:val="24"/>
          <w:szCs w:val="24"/>
          <w:color w:val="auto"/>
        </w:rPr>
      </w:pPr>
    </w:p>
    <w:p>
      <w:pPr>
        <w:ind w:left="600" w:right="140" w:hanging="574"/>
        <w:spacing w:after="0" w:line="238" w:lineRule="auto"/>
        <w:tabs>
          <w:tab w:leader="none" w:pos="6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3" w:lineRule="exact"/>
        <w:rPr>
          <w:sz w:val="24"/>
          <w:szCs w:val="24"/>
          <w:color w:val="auto"/>
        </w:rPr>
      </w:pPr>
    </w:p>
    <w:p>
      <w:pPr>
        <w:ind w:left="600" w:right="120" w:hanging="574"/>
        <w:spacing w:after="0" w:line="238" w:lineRule="auto"/>
        <w:tabs>
          <w:tab w:leader="none" w:pos="6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001-36407</w:t>
      </w:r>
    </w:p>
    <w:p>
      <w:pPr>
        <w:spacing w:after="0" w:line="2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ALNYLAM PHARMACEUTICALS,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184"/>
        </w:trPr>
        <w:tc>
          <w:tcPr>
            <w:tcW w:w="6020" w:type="dxa"/>
            <w:vAlign w:val="bottom"/>
          </w:tcPr>
          <w:p>
            <w:pPr>
              <w:jc w:val="center"/>
              <w:ind w:right="348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77-0602661</w:t>
            </w:r>
          </w:p>
        </w:tc>
        <w:tc>
          <w:tcPr>
            <w:tcW w:w="0" w:type="dxa"/>
            <w:vAlign w:val="bottom"/>
          </w:tcPr>
          <w:p>
            <w:pPr>
              <w:spacing w:after="0"/>
              <w:rPr>
                <w:sz w:val="1"/>
                <w:szCs w:val="1"/>
                <w:color w:val="auto"/>
              </w:rPr>
            </w:pPr>
          </w:p>
        </w:tc>
      </w:tr>
      <w:tr>
        <w:trPr>
          <w:trHeight w:val="137"/>
        </w:trPr>
        <w:tc>
          <w:tcPr>
            <w:tcW w:w="6020" w:type="dxa"/>
            <w:vAlign w:val="bottom"/>
          </w:tcPr>
          <w:p>
            <w:pPr>
              <w:jc w:val="center"/>
              <w:ind w:right="3483"/>
              <w:spacing w:after="0" w:line="13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0" w:type="dxa"/>
            <w:vAlign w:val="bottom"/>
          </w:tcPr>
          <w:p>
            <w:pPr>
              <w:jc w:val="center"/>
              <w:ind w:left="204"/>
              <w:spacing w:after="0" w:line="13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020" w:type="dxa"/>
            <w:vAlign w:val="bottom"/>
          </w:tcPr>
          <w:p>
            <w:pPr>
              <w:jc w:val="center"/>
              <w:ind w:right="348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3"/>
        </w:trPr>
        <w:tc>
          <w:tcPr>
            <w:tcW w:w="6020" w:type="dxa"/>
            <w:vAlign w:val="bottom"/>
          </w:tcPr>
          <w:p>
            <w:pPr>
              <w:jc w:val="center"/>
              <w:ind w:right="3483"/>
              <w:spacing w:after="0"/>
              <w:rPr>
                <w:sz w:val="20"/>
                <w:szCs w:val="20"/>
                <w:color w:val="auto"/>
              </w:rPr>
            </w:pPr>
            <w:r>
              <w:rPr>
                <w:rFonts w:ascii="Times New Roman" w:cs="Times New Roman" w:eastAsia="Times New Roman" w:hAnsi="Times New Roman"/>
                <w:sz w:val="16"/>
                <w:szCs w:val="16"/>
                <w:b w:val="1"/>
                <w:bCs w:val="1"/>
                <w:color w:val="auto"/>
              </w:rPr>
              <w:t>675 West Kendall Street,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20" w:type="dxa"/>
            <w:vAlign w:val="bottom"/>
          </w:tcPr>
          <w:p>
            <w:pPr>
              <w:jc w:val="center"/>
              <w:ind w:right="3463"/>
              <w:spacing w:after="0" w:line="162" w:lineRule="exact"/>
              <w:rPr>
                <w:sz w:val="20"/>
                <w:szCs w:val="20"/>
                <w:color w:val="auto"/>
              </w:rPr>
            </w:pPr>
            <w:r>
              <w:rPr>
                <w:rFonts w:ascii="Times New Roman" w:cs="Times New Roman" w:eastAsia="Times New Roman" w:hAnsi="Times New Roman"/>
                <w:sz w:val="16"/>
                <w:szCs w:val="16"/>
                <w:b w:val="1"/>
                <w:bCs w:val="1"/>
                <w:color w:val="auto"/>
                <w:w w:val="99"/>
              </w:rPr>
              <w:t>Henri A. Termeer Square</w:t>
            </w:r>
          </w:p>
        </w:tc>
        <w:tc>
          <w:tcPr>
            <w:tcW w:w="1400" w:type="dxa"/>
            <w:vAlign w:val="bottom"/>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62"/>
        </w:trPr>
        <w:tc>
          <w:tcPr>
            <w:tcW w:w="6020" w:type="dxa"/>
            <w:vAlign w:val="bottom"/>
          </w:tcPr>
          <w:p>
            <w:pPr>
              <w:jc w:val="center"/>
              <w:ind w:right="3483"/>
              <w:spacing w:after="0" w:line="162" w:lineRule="exact"/>
              <w:rPr>
                <w:sz w:val="20"/>
                <w:szCs w:val="20"/>
                <w:color w:val="auto"/>
              </w:rPr>
            </w:pPr>
            <w:r>
              <w:rPr>
                <w:rFonts w:ascii="Times New Roman" w:cs="Times New Roman" w:eastAsia="Times New Roman" w:hAnsi="Times New Roman"/>
                <w:sz w:val="16"/>
                <w:szCs w:val="16"/>
                <w:b w:val="1"/>
                <w:bCs w:val="1"/>
                <w:color w:val="auto"/>
              </w:rPr>
              <w:t>Cambridge, MA</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20" w:type="dxa"/>
            <w:vAlign w:val="bottom"/>
          </w:tcPr>
          <w:p>
            <w:pPr>
              <w:jc w:val="center"/>
              <w:ind w:right="34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47"/>
        </w:trPr>
        <w:tc>
          <w:tcPr>
            <w:tcW w:w="6020" w:type="dxa"/>
            <w:vAlign w:val="bottom"/>
          </w:tcPr>
          <w:p>
            <w:pPr>
              <w:jc w:val="right"/>
              <w:ind w:right="1383"/>
              <w:spacing w:after="0"/>
              <w:rPr>
                <w:sz w:val="20"/>
                <w:szCs w:val="20"/>
                <w:color w:val="auto"/>
              </w:rPr>
            </w:pPr>
            <w:r>
              <w:rPr>
                <w:rFonts w:ascii="Times New Roman" w:cs="Times New Roman" w:eastAsia="Times New Roman" w:hAnsi="Times New Roman"/>
                <w:sz w:val="16"/>
                <w:szCs w:val="16"/>
                <w:b w:val="1"/>
                <w:bCs w:val="1"/>
                <w:color w:val="auto"/>
              </w:rPr>
              <w:t>(617) 551-8200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20" w:type="dxa"/>
            <w:vAlign w:val="bottom"/>
          </w:tcPr>
          <w:p>
            <w:pPr>
              <w:jc w:val="center"/>
              <w:ind w:left="19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189"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20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980" w:type="dxa"/>
            <w:vAlign w:val="bottom"/>
            <w:gridSpan w:val="2"/>
            <w:vMerge w:val="restart"/>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c>
          <w:tcPr>
            <w:tcW w:w="0" w:type="dxa"/>
            <w:vAlign w:val="bottom"/>
          </w:tcPr>
          <w:p>
            <w:pPr>
              <w:spacing w:after="0"/>
              <w:rPr>
                <w:sz w:val="1"/>
                <w:szCs w:val="1"/>
                <w:color w:val="auto"/>
              </w:rPr>
            </w:pPr>
          </w:p>
        </w:tc>
      </w:tr>
      <w:tr>
        <w:trPr>
          <w:trHeight w:val="214"/>
        </w:trPr>
        <w:tc>
          <w:tcPr>
            <w:tcW w:w="4200" w:type="dxa"/>
            <w:vAlign w:val="bottom"/>
            <w:gridSpan w:val="3"/>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0" w:type="dxa"/>
            <w:vAlign w:val="bottom"/>
          </w:tcPr>
          <w:p>
            <w:pPr>
              <w:spacing w:after="0"/>
              <w:rPr>
                <w:sz w:val="1"/>
                <w:szCs w:val="1"/>
                <w:color w:val="auto"/>
              </w:rPr>
            </w:pPr>
          </w:p>
        </w:tc>
      </w:tr>
      <w:tr>
        <w:trPr>
          <w:trHeight w:val="206"/>
        </w:trPr>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6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center"/>
              <w:ind w:right="519"/>
              <w:spacing w:after="0"/>
              <w:rPr>
                <w:sz w:val="20"/>
                <w:szCs w:val="20"/>
                <w:color w:val="auto"/>
              </w:rPr>
            </w:pPr>
            <w:r>
              <w:rPr>
                <w:rFonts w:ascii="Times New Roman" w:cs="Times New Roman" w:eastAsia="Times New Roman" w:hAnsi="Times New Roman"/>
                <w:sz w:val="16"/>
                <w:szCs w:val="16"/>
                <w:color w:val="auto"/>
              </w:rPr>
              <w:t>ALNY</w:t>
            </w:r>
          </w:p>
        </w:tc>
        <w:tc>
          <w:tcPr>
            <w:tcW w:w="680" w:type="dxa"/>
            <w:vAlign w:val="bottom"/>
          </w:tcPr>
          <w:p>
            <w:pPr>
              <w:spacing w:after="0"/>
              <w:rPr>
                <w:sz w:val="17"/>
                <w:szCs w:val="17"/>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62" w:lineRule="exact"/>
        <w:rPr>
          <w:sz w:val="24"/>
          <w:szCs w:val="24"/>
          <w:color w:val="auto"/>
        </w:rPr>
      </w:pPr>
    </w:p>
    <w:p>
      <w:pPr>
        <w:jc w:val="both"/>
        <w:ind w:firstLine="81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4" w:lineRule="exact"/>
        <w:rPr>
          <w:sz w:val="24"/>
          <w:szCs w:val="24"/>
          <w:color w:val="auto"/>
        </w:rPr>
      </w:pPr>
    </w:p>
    <w:p>
      <w:pPr>
        <w:jc w:val="both"/>
        <w:ind w:right="20" w:firstLine="81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firstLine="81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36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560"/>
              <w:spacing w:after="0"/>
              <w:rPr>
                <w:sz w:val="20"/>
                <w:szCs w:val="20"/>
                <w:color w:val="auto"/>
              </w:rPr>
            </w:pPr>
            <w:r>
              <w:rPr>
                <w:rFonts w:ascii="Wingdings" w:cs="Wingdings" w:eastAsia="Wingdings" w:hAnsi="Wingdings"/>
                <w:sz w:val="16"/>
                <w:szCs w:val="16"/>
                <w:b w:val="1"/>
                <w:bCs w:val="1"/>
                <w:color w:val="auto"/>
              </w:rPr>
              <w:t>x</w:t>
            </w:r>
          </w:p>
        </w:tc>
        <w:tc>
          <w:tcPr>
            <w:tcW w:w="48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236" w:lineRule="exact"/>
        <w:rPr>
          <w:sz w:val="24"/>
          <w:szCs w:val="24"/>
          <w:color w:val="auto"/>
        </w:rPr>
      </w:pPr>
    </w:p>
    <w:p>
      <w:pPr>
        <w:jc w:val="both"/>
        <w:ind w:right="20" w:firstLine="81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ind w:left="8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30"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auto"/>
        </w:rPr>
        <w:t>At April 24, 2026, the registrant had 133,512,573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6" w:right="339" w:bottom="69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18"/>
          <w:szCs w:val="18"/>
          <w:b w:val="1"/>
          <w:bCs w:val="1"/>
          <w:color w:val="auto"/>
        </w:rPr>
        <w:t>ALNYLAM PHARMACEUTICALS, INC.</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60" w:type="dxa"/>
            <w:vAlign w:val="bottom"/>
            <w:gridSpan w:val="14"/>
          </w:tcPr>
          <w:p>
            <w:pPr>
              <w:jc w:val="center"/>
              <w:ind w:right="3640"/>
              <w:spacing w:after="0" w:line="199"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6280" w:type="dxa"/>
            <w:vAlign w:val="bottom"/>
            <w:gridSpan w:val="11"/>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w:t>
            </w:r>
          </w:p>
        </w:tc>
        <w:tc>
          <w:tcPr>
            <w:tcW w:w="7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MONTHS ENDED MARCH 31, 2026 AND 2025</w:t>
            </w:r>
          </w:p>
        </w:tc>
        <w:tc>
          <w:tcPr>
            <w:tcW w:w="6220" w:type="dxa"/>
            <w:vAlign w:val="bottom"/>
            <w:tcBorders>
              <w:top w:val="single" w:sz="8" w:color="0000FF"/>
            </w:tcBorders>
            <w:gridSpan w:val="10"/>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w:t>
            </w:r>
          </w:p>
        </w:tc>
        <w:tc>
          <w:tcPr>
            <w:tcW w:w="7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200" w:type="dxa"/>
            <w:vAlign w:val="bottom"/>
            <w:tcBorders>
              <w:top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7"/>
                <w:szCs w:val="17"/>
                <w:color w:val="0000FF"/>
              </w:rPr>
              <w:t>2026 AND 2025</w:t>
            </w:r>
          </w:p>
        </w:tc>
        <w:tc>
          <w:tcPr>
            <w:tcW w:w="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gridSpan w:val="2"/>
          </w:tcPr>
          <w:p>
            <w:pPr>
              <w:spacing w:after="0"/>
              <w:rPr>
                <w:sz w:val="12"/>
                <w:szCs w:val="12"/>
                <w:color w:val="auto"/>
              </w:rPr>
            </w:pPr>
          </w:p>
        </w:tc>
        <w:tc>
          <w:tcPr>
            <w:tcW w:w="2780" w:type="dxa"/>
            <w:vAlign w:val="bottom"/>
            <w:tcBorders>
              <w:top w:val="single" w:sz="8" w:color="0000FF"/>
            </w:tcBorders>
            <w:gridSpan w:val="2"/>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w:t>
            </w:r>
          </w:p>
        </w:tc>
        <w:tc>
          <w:tcPr>
            <w:tcW w:w="7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5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40" w:type="dxa"/>
            <w:vAlign w:val="bottom"/>
            <w:gridSpan w:val="4"/>
          </w:tcPr>
          <w:p>
            <w:pPr>
              <w:spacing w:after="0"/>
              <w:rPr>
                <w:sz w:val="22"/>
                <w:szCs w:val="22"/>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63"/>
        </w:trPr>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64"/>
        </w:trPr>
        <w:tc>
          <w:tcPr>
            <w:tcW w:w="68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520" w:type="dxa"/>
            <w:vAlign w:val="bottom"/>
            <w:gridSpan w:val="6"/>
          </w:tcPr>
          <w:p>
            <w:pPr>
              <w:spacing w:after="0"/>
              <w:rPr>
                <w:sz w:val="22"/>
                <w:szCs w:val="22"/>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63"/>
        </w:trPr>
        <w:tc>
          <w:tcPr>
            <w:tcW w:w="20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3780" w:type="dxa"/>
            <w:vAlign w:val="bottom"/>
            <w:gridSpan w:val="8"/>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780" w:type="dxa"/>
            <w:vAlign w:val="bottom"/>
            <w:gridSpan w:val="16"/>
          </w:tcPr>
          <w:p>
            <w:pPr>
              <w:spacing w:after="0"/>
              <w:rPr>
                <w:sz w:val="22"/>
                <w:szCs w:val="22"/>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63"/>
        </w:trPr>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264"/>
        </w:trPr>
        <w:tc>
          <w:tcPr>
            <w:tcW w:w="2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80" w:type="dxa"/>
            <w:vAlign w:val="bottom"/>
            <w:gridSpan w:val="16"/>
          </w:tcPr>
          <w:p>
            <w:pPr>
              <w:spacing w:after="0"/>
              <w:rPr>
                <w:sz w:val="22"/>
                <w:szCs w:val="22"/>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63"/>
        </w:trPr>
        <w:tc>
          <w:tcPr>
            <w:tcW w:w="11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380" w:type="dxa"/>
            <w:vAlign w:val="bottom"/>
            <w:tcBorders>
              <w:top w:val="single" w:sz="8" w:color="0000FF"/>
            </w:tcBorders>
            <w:gridSpan w:val="2"/>
          </w:tcPr>
          <w:p>
            <w:pPr>
              <w:spacing w:after="0"/>
              <w:rPr>
                <w:sz w:val="22"/>
                <w:szCs w:val="22"/>
                <w:color w:val="auto"/>
              </w:rPr>
            </w:pPr>
          </w:p>
        </w:tc>
        <w:tc>
          <w:tcPr>
            <w:tcW w:w="8840" w:type="dxa"/>
            <w:vAlign w:val="bottom"/>
            <w:gridSpan w:val="18"/>
          </w:tcPr>
          <w:p>
            <w:pPr>
              <w:spacing w:after="0"/>
              <w:rPr>
                <w:sz w:val="22"/>
                <w:szCs w:val="22"/>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“Alnylam,” AMVUTTRA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ONPATTRO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GIVLAARI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OXLUMO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registered trademarks of Alnylam Pharmaceuticals, Inc. Our logo, trademarks and service marks are property of Alnylam. All other trademarks or service marks appearing in this Quarterly Report on Form 10-Q are the property of their respective holders.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All statements other than statements of historical fact contained in this Quarterly Report on Form 10-Q are forward-looking statements. In some cases, you can identify forward-looking statements by terminology such as “may,” “will,” “should,” “could,” “expects,” “plans,” “intends,” “aspires,” “anticipates,” “believes,” “estimates,” “predicts,” “potential,” “continue,” or the negative of these terms or other comparable terminology. These forward-looking statements include, but are not limited to, statements about:</w:t>
      </w:r>
    </w:p>
    <w:p>
      <w:pPr>
        <w:spacing w:after="0" w:line="73" w:lineRule="exact"/>
        <w:rPr>
          <w:sz w:val="20"/>
          <w:szCs w:val="20"/>
          <w:color w:val="auto"/>
        </w:rPr>
      </w:pPr>
    </w:p>
    <w:p>
      <w:pPr>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revenues, expenses, margins, profitability, cash flows, capital expenditures, and other aspects of our financial performance, as well as our financial guidance and outlook for upcoming periods;</w:t>
      </w:r>
    </w:p>
    <w:p>
      <w:pPr>
        <w:spacing w:after="0" w:line="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strategy and our aspiration to achieve the metrics associated with this strategy;</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views with respect to the clinical and commercial potential of (including the potential numbers of patients who may benefit from) our approved and investigational RNAi therapeutics and those of our collaborators, including AMVUTTRA, ONPATTRO, GIVLAARI, OXLUMO, Leqvio® (inclisiran), Qfitlia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(fitusiran), zilebesiran, mivelsiran, nucresiran and cemdisiran;</w:t>
      </w:r>
    </w:p>
    <w:p>
      <w:pPr>
        <w:spacing w:after="0" w:line="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additional global regulatory filings and the continuing product launches of AMVUTTRA, ONPATTRO, GIVLAARI, OXLUMO and our collaborators’ plans with respect to Leqvio, Qfitlia and cemdisiran;</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AMVUTTRA (vutrisiran) for the treatment of ATTR amyloidosis with cardiomyopathy in additional jurisdictions outside the United States;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for, and the successful commercialization of, AMVUTTRA, ONPATTRO, GIVLAARI, OXLUMO, Leqvio, Qfitlia or any future products;</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and pricing, reimbursement and patient access and insurance coverage for AMVUTTRA, ONPATTRO, GIVLAARI, OXLUMO or any future products, and our collaborators’ ability with respect to Leqvio, Qfitlia and cemdisiran;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programs across a broad range of disease areas and indications;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improved product profiles to emerge from our technologies and our ability to expand our clinical development pipeline to include additional tissue types and disease indications;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anticipated clinical trials and expectations regarding the reporting of data from these trials;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regulatory filings and interactions with, or actions or advice of, regulatory authorities, which may affect the design, initiation, timing, continuation and/or progress of clinical trials, or result in the need for additional preclinical and/or clinical testing or the timing or likelihood of regulatory approvals;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our manufacturing operations and any delays, interruptions or failures in the manufacture and supply of AMVUTTRA, ONPATTRO, GIVLAARI, OXLUMO or any of our product candidates (or Leqvio, Qfitlia, cemdisiran or other products or product candidates being developed and commercialized by our collaborators), by our or their contract manufacturers or by us or our collaborators;</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potential healthcare reforms, including those affecting the delivery, pricing or government price reporting of or payment, insurance coverage or reimbursement for, healthcare products and services;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pandemics or public health emergencies on, among other things, our financial performance, business and operations, including manufacturing, supply chain, research and development activities and pipeline programs, and other potential impacts to our business;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continuing to build and leverage our global commercial infrastructure;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any competing products, including generic versions of competing products, on the commercial success of AMVUTTRA, ONPATTRO, GIVLAARI, OXLUMO, Leqvio and Qfitlia, as well as our product candidates, and, our, or with respect to Leqvio or Qfitlia, our collaborators’, ability to compete against such products;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operating expenses;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length of time our current cash, cash equivalents and marketable debt securities will support our operations based on our current operating plan;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 parties on which we rely for development, manufacture and distribution of our products to meet their obligations to us;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collaborations and our expectations regarding potential future research and development funding, licensing fees and milestone and royalty payments that we may receive under existing or future collaboration agreements;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protect our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scientists, development, medical and commercial staff, consultants and advisors;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or other legal proceedings or government investigations;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other jurisdictions;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payment obligations, and to service the interest on, or to refinance our indebtedness, including our convertible notes, or to make cash payments in connection with any conversion of our convertible notes, to the extent required; and</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 of the capped call transactions and the anticipated market activities of the option counterparties and/or their respective affiliates.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Securities and Exchange Commission, or SEC.</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Quarterly Report on Form 10-Q also may include data based on our own internal estimates and research, which have not been verified by any independent source and, while we believe any data obtained from industry publications and third-party research, surveys and studies are reliable, we have not independently verified such data. Any such third-party data, as well as our internal estimates and research, are subject to a high degree of uncertainty and risk due to a variety of factors, including those described in Part II, Item 1A, “Risk Factors” and elsewhere in this Quarterly Report on Form 10-Q. These and other factors could cause our results to differ materially from those expressed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ALNYLAM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86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1,657,250</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1,251,234</w:t>
            </w: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777,567</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82,719</w:t>
            </w: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281,892</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4,050,662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513,147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investments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59,461</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5,129,547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4,966,331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1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115,721</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1,080,197</w:t>
            </w:r>
          </w:p>
        </w:tc>
      </w:tr>
      <w:tr>
        <w:trPr>
          <w:trHeight w:val="22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related to the sale of future royalties and development funding</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220,068</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1,466,349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1,007,784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 of future royalties and development funding, net of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1,470,341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30"/>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4,054,167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4,177,155</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per share, 5,000 shares authorized and no shares issued and outstanding</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61"/>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 March 31, 2026 and December 31, 2025</w:t>
            </w:r>
          </w:p>
        </w:tc>
        <w:tc>
          <w:tcPr>
            <w:tcW w:w="20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$0.01 par value per share, 250,000 shares authorized; 133,444 shares issued and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2026; 132,376 shares issued and outstanding as of December 31, 2025</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7,510,473</w:t>
            </w: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(6,496,533)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(6,702,524)</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789,176</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5,129,547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4,966,331</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ALNYLAM PHARMACEUTICALS,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240" w:type="dxa"/>
        <w:tblCellMar>
          <w:top w:w="0" w:type="dxa"/>
          <w:left w:w="0" w:type="dxa"/>
          <w:bottom w:w="0" w:type="dxa"/>
          <w:right w:w="0" w:type="dxa"/>
        </w:tblCellMar>
      </w:tblPr>
      <w:tr>
        <w:trPr>
          <w:trHeight w:val="200"/>
        </w:trPr>
        <w:tc>
          <w:tcPr>
            <w:tcW w:w="63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product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468,538</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 from collaborations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99,185</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Royalty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r>
      <w:tr>
        <w:trPr>
          <w:trHeight w:val="223"/>
        </w:trPr>
        <w:tc>
          <w:tcPr>
            <w:tcW w:w="6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594,189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70,183</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collaborations and royalties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265,122</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239,949</w:t>
            </w:r>
          </w:p>
        </w:tc>
      </w:tr>
      <w:tr>
        <w:trPr>
          <w:trHeight w:val="223"/>
        </w:trPr>
        <w:tc>
          <w:tcPr>
            <w:tcW w:w="6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576,112</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(58,309)</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223"/>
        </w:trPr>
        <w:tc>
          <w:tcPr>
            <w:tcW w:w="63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0"/>
        </w:trPr>
        <w:tc>
          <w:tcPr>
            <w:tcW w:w="6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129,676</w:t>
            </w:r>
          </w:p>
        </w:tc>
      </w:tr>
      <w:tr>
        <w:trPr>
          <w:trHeight w:val="270"/>
        </w:trPr>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(losses) gains on marketable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0"/>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Defined benefit pension plans, net of 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201,194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ALNYLAM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7"/>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140" w:type="dxa"/>
            <w:vAlign w:val="bottom"/>
            <w:gridSpan w:val="4"/>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9"/>
                <w:szCs w:val="9"/>
                <w:color w:val="auto"/>
              </w:rPr>
            </w:pPr>
          </w:p>
        </w:tc>
        <w:tc>
          <w:tcPr>
            <w:tcW w:w="1120" w:type="dxa"/>
            <w:vAlign w:val="bottom"/>
            <w:gridSpan w:val="3"/>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132,376</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7,510,473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(6,702,524)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Exercise of common stock options, net of tax</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equity plans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7,595,473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(6,496,533)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4"/>
            <w:vMerge w:val="restart"/>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7,388,061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(34,518)</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(7,287,748)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67,088</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adjustment from adoption of ASU</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2025-07</w:t>
            </w:r>
          </w:p>
        </w:tc>
        <w:tc>
          <w:tcPr>
            <w:tcW w:w="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common stock options, net of tax</w:t>
            </w: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equity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(18,251)</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7,496,876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(7,034,522)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426,140</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ALNYLAM PHARMACEUTICALS, INC.</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205,991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interest expense on liabilities related to the sale of future royalties and development funding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and unrealized loss on marketable equity securities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(19,354)</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(32,769)</w:t>
            </w: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(157,735)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(27,321)</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70,504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(120,312)</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(401,642)</w:t>
            </w: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524,381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of restricted and other investments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48,825</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Purchases of restricted and other investments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(48,825)</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113,769</w:t>
            </w:r>
          </w:p>
        </w:tc>
        <w:tc>
          <w:tcPr>
            <w:tcW w:w="0" w:type="dxa"/>
            <w:vAlign w:val="bottom"/>
          </w:tcPr>
          <w:p>
            <w:pPr>
              <w:spacing w:after="0"/>
              <w:rPr>
                <w:sz w:val="1"/>
                <w:szCs w:val="1"/>
                <w:color w:val="auto"/>
              </w:rPr>
            </w:pPr>
          </w:p>
        </w:tc>
      </w:tr>
      <w:tr>
        <w:trPr>
          <w:trHeight w:val="19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 and other types of equity,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49,365</w:t>
            </w:r>
          </w:p>
        </w:tc>
        <w:tc>
          <w:tcPr>
            <w:tcW w:w="0" w:type="dxa"/>
            <w:vAlign w:val="bottom"/>
          </w:tcPr>
          <w:p>
            <w:pPr>
              <w:spacing w:after="0"/>
              <w:rPr>
                <w:sz w:val="1"/>
                <w:szCs w:val="1"/>
                <w:color w:val="auto"/>
              </w:rPr>
            </w:pP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liabilities related to the sale of future royalties and development funding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liabilities related to the sale of future royalties and development funding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46,082</w:t>
            </w:r>
          </w:p>
        </w:tc>
        <w:tc>
          <w:tcPr>
            <w:tcW w:w="0" w:type="dxa"/>
            <w:vAlign w:val="bottom"/>
          </w:tcPr>
          <w:p>
            <w:pPr>
              <w:spacing w:after="0"/>
              <w:rPr>
                <w:sz w:val="1"/>
                <w:szCs w:val="1"/>
                <w:color w:val="auto"/>
              </w:rPr>
            </w:pPr>
          </w:p>
        </w:tc>
      </w:tr>
      <w:tr>
        <w:trPr>
          <w:trHeight w:val="20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53,597</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1,658,807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968,652</w:t>
            </w: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1,712,419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1,022,249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68,931</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new operating lease liabilities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Alnylam Pharmaceuticals, Inc. (also referred to as Alnylam, the Company, we, our or us) commenced operations on June 14, 2002 as a biopharmaceutical company seeking to develop and commercialize novel therapeutics based on ribonucleic acid interference, or RNAi. We are committed to the advancement of our company strategy of building a multi-product, global, commercial biopharmaceutical company with a deep and sustainable clinical pipeline of RNAi therapeutics for future growth and a robust, organic research engine for sustainable innovation and great potential for patient impact. Since inception, we have focused on discovering, developing and commercializing RNAi therapeutics by establishing and maintaining a strong intellectual property position in the RNAi field, establishing strategic collaborations with leading pharmaceutical and life sciences companies, generating revenues through licensing agreements, and ultimately developing and commercializing RNAi therapeutics globally, either independently or with our strategic collaborators. We have devoted substantially all of our efforts to business planning, research, development, manufacturing and commercializing biopharmaceutical products, acquiring, filing and expanding our intellectual property rights, recruiting our management and technical staff, and raising capital.</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have six marketed products, including two products that are commercialized by collaborators, and multiple late-stage investigational programs advancing towards potential commercialization. We currently generate worldwide product revenues from four commercialized products, AMVUTTRA, ONPATTRO, GIVLAARI and OXLUMO, primarily in the United States, or U.S., and Europe.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PRINCIPLES OF CONSOLIDATION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Alnylam are unaudited and have been prepared in accordance with accounting principles generally accepted in the United States of America, or GAAP, applicable to interim periods and, in the opinion of management, include all normal and recurring adjustments that are necessary to state fairly the results of operations for the reported periods. Our condensed consolidated financial statements have also been prepared on a basis substantially consistent with, and should be read in conjunction with, our audited consolidated financial statements for the year ended December 31, 2025, which were included in our Annual Report on Form 10-K that was filed with the Securities and Exchange Commission on February 12, 2026. The year-end condensed consolidated balance sheet data was derived from our audited financial statements but does not include all disclosures required by GAAP. The results of our operations for any interim period are not necessarily indicative of the results of our operations for any other interim period or for a full fiscal year.</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reflect the operations of Alnylam and our wholly-owned subsidiaries. All intercompany accounts and transactions have been eliminated. Certain prior period amounts in the condensed consolidated financial statements have been retrospectively adjusted to reflect the guidance of Accounting Standards Update, or ASU, 2025-07,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which we adopted in the fourth quarter of 2025 on a modified retrospective basis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January 1, 2025. Refer to Note 2 of the Notes to Consolidated Financial Statements included in our Annual Report on Form 10-K for the year ended December 31,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the Notes to Consolidated Financial Statements included in our Annual Report on Form 10-K for the year ended December 31, 2025. There have been no material changes to our significant accounting policies during the three months ended March 31, 2026.</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as of the date of the condensed consolidated financial statements and the reported amounts of revenues and expenses during the reporting period. In our condensed consolidated financial statements, we use estimates and assumptions related to our inventory valuation and related reserves, clinical accruals, liabilities related to the sale of future royalties and development funding, income taxes, deferred tax asset valuation allowances, revenue recognition and related allowances and reserves, research and development expenses, and stock-based compensation expense. We base our estimates on historical experience and on various other assumptions that we believe to be reasonable. Actual results could differ from those estimates. Changes in estimates are reflected in reported results in the period in which they become known.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cash equivalents, marketable securities, as well as the revenue we expect to generate from product sales and under our existing collaborations, including royalties on sales of Leqvio and Qfitlia, and available borrowing capacity under the revolving credit agreement, or the Revolving Credit Agreement, as of March 31, 2026, will be sufficient to satisfy our near-term capital and operating needs for at least the next 12 months from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 date of this Quarterly Report on Form 10-Q. Please refer to Note 8, Convertible Debt and Other Financing, for further information related to the Revolving Credit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or FASB, issued ASU 2025-06, </w:t>
      </w:r>
      <w:r>
        <w:rPr>
          <w:rFonts w:ascii="Times New Roman" w:cs="Times New Roman" w:eastAsia="Times New Roman" w:hAnsi="Times New Roman"/>
          <w:sz w:val="18"/>
          <w:szCs w:val="18"/>
          <w:i w:val="1"/>
          <w:iCs w:val="1"/>
          <w:color w:val="auto"/>
        </w:rPr>
        <w:t>Targeted Improvements to the Accounting for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which modernizes the guidance for internal-use software costs by increasing the operability of the recognition guidance considering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 of software development. The standard will be effective for annual reporting periods beginning after December 15, 2027, as well as interim period reporting periods within those annual reporting periods, with early adoption permitted. The standard updates may be applied on a prospective, retrospective, or modified retrospective approach. We are currently evaluating the impact this guidance could have on our condensed consolidated financial statements and related disclosures.</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ASU 2024-03.</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PRODUCT 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revenues, classified based on the geographic region in which the product is sold and by franchise (“TTR,” which includes AMVUTTRA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ONPATTRO, and “Rare,” which includes GIVLAARI and OXLUMO) consisted of the following:</w:t>
      </w:r>
    </w:p>
    <w:p>
      <w:pPr>
        <w:spacing w:after="0" w:line="119" w:lineRule="exact"/>
        <w:rPr>
          <w:sz w:val="20"/>
          <w:szCs w:val="20"/>
          <w:color w:val="auto"/>
        </w:rPr>
      </w:pPr>
    </w:p>
    <w:tbl>
      <w:tblPr>
        <w:tblLayout w:type="fixed"/>
        <w:tblInd w:w="174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AMVUTTRA</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702,554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80,088</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309,992</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ONPATTRO</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TTR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359,481</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GIVLAARI</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18,544</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66,968</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OXLUMO</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Rare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109,057</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product revenues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net product revenue-related receivables of $727.2 million and $669.5 million, respectively, were included in accounts receivable, net on our condensed consolidated balance sheets.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balances and activity in each product revenue allowance and reserve category: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Chargebacks and Rebates</w:t>
            </w:r>
          </w:p>
        </w:tc>
        <w:tc>
          <w:tcPr>
            <w:tcW w:w="16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Other Incentives and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900" w:type="dxa"/>
            <w:vAlign w:val="bottom"/>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1760" w:type="dxa"/>
            <w:vAlign w:val="bottom"/>
            <w:gridSpan w:val="4"/>
            <w:vMerge w:val="continue"/>
          </w:tcPr>
          <w:p>
            <w:pPr>
              <w:spacing w:after="0"/>
              <w:rPr>
                <w:sz w:val="16"/>
                <w:szCs w:val="16"/>
                <w:color w:val="auto"/>
              </w:rPr>
            </w:pPr>
          </w:p>
        </w:tc>
        <w:tc>
          <w:tcPr>
            <w:tcW w:w="164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Pr>
          <w:p>
            <w:pPr>
              <w:spacing w:after="0"/>
              <w:rPr>
                <w:sz w:val="19"/>
                <w:szCs w:val="19"/>
                <w:color w:val="auto"/>
              </w:rPr>
            </w:pPr>
          </w:p>
        </w:tc>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2025</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399,853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425,650</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related to current year sales</w:t>
            </w:r>
          </w:p>
        </w:tc>
        <w:tc>
          <w:tcPr>
            <w:tcW w:w="520" w:type="dxa"/>
            <w:vAlign w:val="bottom"/>
          </w:tcPr>
          <w:p>
            <w:pPr>
              <w:spacing w:after="0"/>
              <w:rPr>
                <w:sz w:val="19"/>
                <w:szCs w:val="19"/>
                <w:color w:val="auto"/>
              </w:rPr>
            </w:pPr>
          </w:p>
        </w:tc>
        <w:tc>
          <w:tcPr>
            <w:tcW w:w="11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289,964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319,924</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related to prior years’ sales</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4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Credit or payments made during the period for current year</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5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(147,181)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(161,327)</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4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Credit or payments made during the period for prior years’</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(92,210)</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(105,110)</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 of March 31, 2026</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449,324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477,043</w:t>
            </w:r>
          </w:p>
        </w:tc>
        <w:tc>
          <w:tcPr>
            <w:tcW w:w="0" w:type="dxa"/>
            <w:vAlign w:val="bottom"/>
          </w:tcPr>
          <w:p>
            <w:pPr>
              <w:spacing w:after="0"/>
              <w:rPr>
                <w:sz w:val="1"/>
                <w:szCs w:val="1"/>
                <w:color w:val="auto"/>
              </w:rPr>
            </w:pPr>
          </w:p>
        </w:tc>
      </w:tr>
      <w:tr>
        <w:trPr>
          <w:trHeight w:val="21"/>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NET REVENUES FROM COLLABORATIONS</w:t>
            </w: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 from collaborations consisted of the following:</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5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35,641</w:t>
            </w:r>
          </w:p>
        </w:tc>
        <w:tc>
          <w:tcPr>
            <w:tcW w:w="6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 Pharmaceuticals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51,039</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revenues from collaborations</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99,185</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of our receivables and contract liabilities related to our collaboration agreements: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Pr>
          <w:p>
            <w:pPr>
              <w:spacing w:after="0"/>
              <w:rPr>
                <w:sz w:val="16"/>
                <w:szCs w:val="16"/>
                <w:color w:val="auto"/>
              </w:rPr>
            </w:pP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7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included in accounts receivable,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48,823</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 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r>
    </w:tbl>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net revenues from collaborations of $4.8 million in the three months ended March 31, 2026, and $28.1 million in the three months ended March 31, 2025, each of which was included in the contract liability balance at the beginning of the applicable period.</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determine revenue recognized in the period from contract liabilities, we first allocate revenue to the individual contract liability balance outstanding at the beginning of the period until the revenue exceeds that balance. If additional consideration is received on those contracts in subsequent periods, we assume all revenue recognized in the reporting period first applies to the beginning contract liability as opposed to a portion applying to the new consideration for the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Collaborations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Roche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21, 2023, or the Effective Date, we entered into a Collaboration and License Agreement, or the Roche Agreement, with F. Hoffmann-La Roche Ltd. and Genentech, Inc., or, collectively, Roche, pursuant to which we and Roche established a worldwide, strategic collaboration for the joint development of zilebesiran. Zilebesiran is our investigational small interfering RNA, or siRNA, therapeutic targeting liver-expressed angiotensinogen, which is currently in Phase 3 clinical development for the treatment of hypertension.</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Roche Agreement, we granted to Roche (i) co-exclusive rights to develop zilebesiran worldwide and commercialize zilebesiran in the U.S., referred to as the Co-Commercialization Territory, (ii) exclusive rights to commercialize zilebesiran outside of the U.S., referred to as the Roche Territory, and (iii) non-exclusive rights to manufacture zilebesiran for the development and commercialization of zilebesiran in the Roche Territory.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lead the global clinical development for zilebesiran. We are responsible for forty percent (40%) and Roche is responsible for the remaining sixty percent (60%) of development costs incurred in the conduct of development activities that support regulatory approval of zilebesiran globally. We and Roche share equally (50/50) all costs incurred in connection with development activities that are conducted to support regulatory approval of zilebesiran solely in the Co-Commercialization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Territory if incremental development activities are needed. Roche is solely responsible for all costs incurred in the conduct of development activities that primarily support regulatory approval in the Roche Territory. Upon regulatory approval, Roche has the exclusive right to commercialize zilebesiran in the Roche Territory and will pay us tiered, low double-digit royalties based on net sales of zilebesiran on a country-by-country basis during the applicable royalty term. We and Roche will co-commercialize zilebesiran in the Co-Commercialization Territory and share equally (50/50) in profits and losses (including commercialization costs).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Roche has the right to terminate the Roche Agreement for any or no reason at all upon prior written notice. In addition, either party may terminate the Roche Agreement for a material breach by, or insolvency of, the other party, subject to a cure period. Unless earlier terminated pursuant to its terms, the Roche Agreement will remain in effect until expiration on a country-by-country basis (a) in the Roche Territory, upon expiration of the applicable royalty term in the applicable country and (b) in the Co-Commercialization Territory, upon expiration of the term of the co-commercialization efforts.</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As of the Effective Date, we identified the following promises in the Roche Agreement that were evaluated under the scope of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(i) a co-exclusive license to develop zilebesiran worldwide and commercialize zilebesiran within the Co-Commercialization Territory, a non-exclusive license to manufacture zilebesiran in the Roche Territory solely for purposes of developing and commercializing zilebesiran in the Roche Territory, and an exclusive license to commercialize zilebesiran in the Roche Territory, collectively referred to as Roche License Obligation, (ii) development services, including the manufacture of clinical supply, that support regulatory approval of zilebesiran, referred to as the Roche Development Services Obligation, and (iii) a technology transfer of the existing manufacturing process for zilebesiran, referred to as the Roche Technology Transfer Obligation. The three performance obligations under the Roche Agreement are collectively referred to as the Roche Performance Obligations.</w:t>
      </w:r>
    </w:p>
    <w:p>
      <w:pPr>
        <w:spacing w:after="0" w:line="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determined that the Roche License Obligation, Roche Development Services Obligation and Roche Technology Transfer Obligation were reflective of a vendor-customer relationship and therefore represented performance obligations within the scope of ASC 606. The Roche License Obligation was considered functional intellectual property and distinct from other promises under the contract as Roche can benefit from the licenses on its own or together with other readily available resources. As the licenses were delivered at the same time, they were considered one performance obligation at contract inception. The Roche Development Services Obligation was considered distinct as Roche could benefit from the development services together with the licenses transferred by us at the inception of the agreement. The development services are not expected to significantly modify or customize the initial intellectual property as zilebesiran was in Phase 2 of clinical development at contract inception. The Roche Technology Transfer Obligation was distinct as Roche can benefit from the manufacturing license transferred by us at the inception of the agreement given the advancements of our RNAi platform and our utilization of third-party contract manufacturing organizations to manufacture zilebesiran. Therefore, each represented a separate performance obligation within the contract with a customer under the scope of ASC 606 at contract inception.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consider the collaborative activities associated with the co-commercialization of zilebesiran in the U.S. to be a separate unit of account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 we and Roche are both active participants in the commercialization activities and are exposed to significant risks and rewards that are dependent on the commercial success of the activities in the arrangement.</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Based on the standalone selling prices of each performance obligation as of the Effective Date, we allocated the variable consideration related to the estimated reimbursements for the Roche Development Services Obligation and the Roche Technology Transfer Obligation to each performance obligation as the terms of the variable payment relate specifically to our efforts to satisfy the performance obligation. We allocated the fixed upfront consideration entirely to the Roche License Obligation as the value of the fixed consideration together with the expected value of the remaining development and regulatory milestones, sales-based milestones, and royalties, all of which are either currently constrained at inception or subject to the sales- or usage-based royalty exception, approximates the standalone selling price of the Roche License Obligation. This allocation is consistent with the allocation objective of ASC 606 when considering all of the performance obligations and payment terms in the contract.</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Roche License Obligation was satisfied at a point in time upon transfer of the license to Roche. Control of the licenses was transferred on the Effective Date and Roche could begin to use and benefit from the licenses. Because of this, all consideration allocated to the Roche License Obligation, including the upfront payment, milestones and royalties, is recognized when these amounts are no longer considered fully constrained or when the related sales occur for amounts subject to the sales-or-usage based royalty exception of ASC 606. For the Roche Development Services Obligation, we measure proportional performance over time using an input method based on cost incurred relative to the total estimated cost of the obligation, on a quarterly basis, by determining the proportion of effort incurred as a percentage of total effort we expect to expend. This ratio is applied to the transaction price allocated to the obligation. As all costs in the proportional performance model are allowable for reimbursement from Roche, and the assumptions used to determine the total estimated cost of the obligation are consistent with the assumptions used to determine the transaction price allocated to the obligation, the revenue recognized for this obligation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will approximate 60% of the actual reimbursable cost incurred. Management has applied significant judgment in the process of developing our estimates. We re-evaluate the transaction price as of the end of each reporting period and as of March 31, 2026, the total transaction price was determined to be $1.74 billion.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transaction price allocated to each performance obligation: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201"/>
        </w:trPr>
        <w:tc>
          <w:tcPr>
            <w:tcW w:w="96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Roche License Obligation</w:t>
            </w:r>
          </w:p>
        </w:tc>
        <w:tc>
          <w:tcPr>
            <w:tcW w:w="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675,000</w:t>
            </w:r>
          </w:p>
        </w:tc>
        <w:tc>
          <w:tcPr>
            <w:tcW w:w="0" w:type="dxa"/>
            <w:vAlign w:val="bottom"/>
          </w:tcPr>
          <w:p>
            <w:pPr>
              <w:spacing w:after="0"/>
              <w:rPr>
                <w:sz w:val="1"/>
                <w:szCs w:val="1"/>
                <w:color w:val="auto"/>
              </w:rPr>
            </w:pPr>
          </w:p>
        </w:tc>
      </w:tr>
      <w:tr>
        <w:trPr>
          <w:trHeight w:val="203"/>
        </w:trPr>
        <w:tc>
          <w:tcPr>
            <w:tcW w:w="96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Roche Development Services Obligation</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1,061,167</w:t>
            </w:r>
          </w:p>
        </w:tc>
        <w:tc>
          <w:tcPr>
            <w:tcW w:w="0" w:type="dxa"/>
            <w:vAlign w:val="bottom"/>
          </w:tcPr>
          <w:p>
            <w:pPr>
              <w:spacing w:after="0"/>
              <w:rPr>
                <w:sz w:val="1"/>
                <w:szCs w:val="1"/>
                <w:color w:val="auto"/>
              </w:rPr>
            </w:pPr>
          </w:p>
        </w:tc>
      </w:tr>
      <w:tr>
        <w:trPr>
          <w:trHeight w:val="234"/>
        </w:trPr>
        <w:tc>
          <w:tcPr>
            <w:tcW w:w="9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Technology Transfer Obligation</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76"/>
        </w:trPr>
        <w:tc>
          <w:tcPr>
            <w:tcW w:w="96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96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1,738,167</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from collaborations recognized under the Roche Agreement consisted of the following:</w:t>
      </w:r>
    </w:p>
    <w:p>
      <w:pPr>
        <w:spacing w:after="0" w:line="138" w:lineRule="exact"/>
        <w:rPr>
          <w:sz w:val="20"/>
          <w:szCs w:val="20"/>
          <w:color w:val="auto"/>
        </w:rPr>
      </w:pPr>
    </w:p>
    <w:tbl>
      <w:tblPr>
        <w:tblLayout w:type="fixed"/>
        <w:tblInd w:w="148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Roche Development Services Obligation</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34,406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15,840</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62"/>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the Roche Performance Obligations that was unsatisfied was $870.0 million, which is expected to be recognized through the term of the Roche Agreement based on our input method model as the services are performed. We incurred research and development costs related to our collaboration with Roche of $61.2 million during the three months ended March 31, 2026, and $29.7 million during the three months ended March 31, 2025.</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Regeneron Pharmaceuticals,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2019, we entered into a global, strategic collaboration with Regeneron Pharmaceuticals, Inc., or Regeneron, to discover, develop and commercialize RNAi therapeutics for a broad range of diseases by addressing therapeutic targets expressed in the eye and central nervous system, or CNS, in addition to a select number of targets expressed in the liver, which we refer to as the Regeneron Collaboration. The Regeneron Collaboration is governed by a Master Agreement, referred to as the Regeneron Master Agreement. In connection with the Regeneron Master Agreement, we and Regeneron entered into (i) a co-co collaboration agreement covering the continued development of cemdisiran, our C5 siRNA, currently in development for C5 complement-mediated diseases, as a monotherapy, or the C5 Co-Co Collaboration Agreement, and (ii) a license agreement to evaluate anti-C5 antibody-siRNA combinations for C5 complement-mediated diseases including evaluating the combination of Regeneron’s pozelimab and cemdisiran, or the C5 License Agreement. The Master Agreement, the C5 Co-Co Collaboration Agreement and the C5 License Agreement were accounted for as a single arrangement because the agreements were negotiated together.</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November 2022, Regeneron exercised its right under the C5 Co-Co Collaboration Agreement to opt-out of the further development and commercialization of cemdisiran monotherapy. As a result of Regeneron’s decision to opt-out, the licenses granted to Regeneron under the C5 Co-Co Collaboration Agreement reverted to us, we had the sole right to continue to develop and commercialize cemdisiran monotherapy, and Regeneron no longer shared in the costs on any monotherapy program. Regeneron remained eligible to receive tiered, double-digit royalties on net sales of cemdisiran as a monotherapy.</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June 2024, we entered into an amended and restated C5 License Agreement, or the Amended C5 License Agreement, which terminated the C5 Co-Co Collaboration Agreement and granted Regeneron a worldwide license to cemdisiran as a monotherapy in addition to the license to cemdisiran in combination with anti-C5 antibodies. Through the Amended C5 License Agreement, Regeneron is now solely responsible for development, manufacturing and commercialization of cemdisiran as a monotherapy and in combination with anti-C5 antibodies. As part of the Amended C5 License Agreement, we provided manufacturing technology transfer services for cemdisiran to Regeneron. Regeneron provided us with an upfront payment of $10.0 million, and we will receive certain milestone payments upon receipt of regulatory approval for cemdisiran as a monotherapy, and tiered double-digit royalties on net sales. The Amended C5 License Agreement did not change our rights to receive low double-digit royalties and commercial milestones of up to $325.0 million on any potential product sales if cemdisiran is used as part of a combination product.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Under the terms of the Regeneron Collaboration, we continue to work exclusively with Regeneron to discover RNAi therapeutics for eye and CNS diseases for an initial research period, which we refer to as the Initial Research Term. The Regeneron Collaboration also covers a select number of RNAi therapeutic programs designed to target genes expressed in the liver. The Initial Research Term will expire in May 2026. As a result, we and Regeneron will not nominate additional targets to be added to our collaboration.</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Regeneron leads development and commercialization for all programs targeting eye diseases (subject to limited exceptions), entitling us to certain potential milestone and royalty payments pursuant to the terms of a license agreement, the form of which has been agreed upon by the parties. We and Regeneron are alternating leadership on CNS and liver programs, with the lead party retaining global development and commercial responsibility. For such CNS and liver programs, both we and Regeneron have the option at lead candidate selection to enter into a co-co collaboration agreement, the form of which has been agreed upon by the parties, whereby both companies will share equally all costs of, and profits from, all development and commercialization activities under the program. If the non-lead party elects to not enter into a co-co collaboration agreement with respect to a given CNS or liver program, we and Regeneron will enter into a license agreement with respect to such program and the lead party will be the “Licensee” for the purposes of the license agreement. If the lead party for a CNS or liver program elects to not enter into the co-co collaboration agreement, then we and Regeneron will enter into a license agreement with respect to such program and leadership of the program will transfer to the other party and the former non-lead party will be the “Licensee” for the purposes of the license agreement.</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Regeneron Master Agreement, we remain eligible to receive an additional $100.0 million milestone payment upon achievement of certain criteria during early clinical development for an eye program. We and Regeneron are continuing to advance programs nominated during the Initial Research Term. For each of these programs, Regeneron will provide us with $2.5 million in funding at program initiation and an additional $2.5 million at lead candidate identification.</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any license agreement subsequently entered into, the licensee will generally be responsible for its own costs and expenses incurred in connection with the development and commercialization of the collaboration products. The licensee will pay to the licensor certain development and/or commercialization milestone payments totaling up to $150.0 million for each collaboration product. In addition, following the first commercial sale of the applicable collaboration product under a license agreement, the licensee is required to make certain tiered royalty payments, ranging from low double-digits up to 20%, to the licensor based on the aggregate annual net sales of the collaboration product, subject to customary reductions.</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any co-co collaboration agreement subsequently entered into, we and Regeneron will share equally all costs of, and profits from, development and commercialization activities. Reimbursement of our share of costs will be recognized as a reduction to research and development expense in the condensed consolidated statements of operations and comprehensive income (loss). In the event that a party exercises its opt-out right, the lead party will be responsible for all costs and expenses incurred in connection with the development and commercialization of the collaboration products under the applicable co-co collaboration agreement, subject to continued sharing of costs through defined points. If a party exercises its opt-out right, following the first commercial sale of the applicable collaboration product under a co-co collaboration agreement, the lead party is required to make certain tiered royalty payments, ranging from low double-digits up to 20%, to the other party based on the aggregate annual net sales of the collaboration product and the timing of the exercise of the opt-out right, subject to customary reductions and a reduction for opt-out transition costs.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June 2024, we determined the Amended C5 License Agreement does not meet the requirements to account for the contract modification as a separate contract under ASC 606 because the consideration exchanged for the additional distinct goods and services does not reflect the standalone selling price. Therefore, we have accounted for the Amended C5 License Agreement and Regeneron Master Agreement as a single combined contract. The modification date was determined to be the June 2024 effective date of the Amended C5 License Agreement.</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performance obligations subsequent to the contract modification included: (i) a research license and research services, collectively referred to as the Research Services Obligation; (ii) a worldwide license to cemdisiran for combination therapies, and manufacturing and development service obligations, collectively referred to as the C5 License Obligation; (iii) a worldwide license to cemdisiran for monotherapies, referred to as the C5 Monotherapy Obligation; and (iv) a technology transfer of the existing manufacturing process for cemdisiran, referred to as the Regeneron Technology Transfer Obligation.</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Amended C5 License Agreement did not change the Research Services Obligation or the C5 License Obligation, which were both performance obligations at the inception of our global, strategic collaboration with Regeneron prior to the contract modification. The Amended C5 License Agreement resulted in two additional performance obligations, which were the C5 Monotherapy Obligation and the Regeneron Technology Transfer Obligation. The C5 Monotherapy Obligation was considered functional intellectual property and distinct from other promises as Regeneron can benefit from the cemdisiran monotherapy license on its own or together with other readily available resources and the license is separately identifiable from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other promises in the contract. The Regeneron Technology Transfer Obligation was distinct as Regeneron can benefit from the cemdisiran monotherapy license transferred by us without the technology transfer given cemdisiran was in an advanced stage of clinical development and our utilization of third-party contract manufacturing organizations to manufacture cemdisiran. Therefore, the C5 Monotherapy Obligation and the Regeneron Technology Transfer Obligation each represented a separate performance obligation.</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initial transaction price of $191.5 million allocated to the C5 Monotherapy Obligation was recognized immediately as this obligation was satisfied at a point in time upon transfer of the license to Regeneron. Control of the license was transferred in June 2024 as Regeneron could begin to use and benefit from the license on its own or together with other readily available resources to generate economic benefit from the license. The remaining variable consideration allocated to the C5 Monotherapy Obligation, including milestones and royalties, will be recognized immediately when these amounts are no longer considered fully constrained or when the related sales occur for amounts subject to the sales-or-usage based royalty exception of ASC 606. In the three months ended March 31, 2025, we completed our obligations related to the C5 License Obligation and the Regeneron Technology Transfer Obligation.</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continue to perform work in satisfaction of the remaining unsatisfied performance obligation, the Research Services Obligation. For this performance obligation, we measure proportional performance over time using an input method based on cost incurred relative to the total estimated costs for each of the identified obligations by determining the proportion of effort incurred as a percentage of total effort we expect to expend. This ratio is applied to the transaction price allocated to the obligation. Management has applied significant judgment in the process of developing our estimates. Any changes to these estimates will be recognized in the period in which they change as a cumulative catch-up. We re-evaluate the transaction price as of the end of each reporting period and as of March 31, 2026, the total transaction price was determined to be $100.5 million related to this obligation. As of March 31, 2026, the aggregate amount of the transaction price that was unsatisfied was $27.4 million, which is expected to be recognized through the term of the Regeneron Collaboration based on our input method model as the services are performed.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from collaborations recognized under the Regeneron Collaboration consisted of the following:</w:t>
      </w:r>
    </w:p>
    <w:p>
      <w:pPr>
        <w:spacing w:after="0" w:line="151"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Services Obligation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68"/>
        </w:trPr>
        <w:tc>
          <w:tcPr>
            <w:tcW w:w="47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C5 License Obligation</w:t>
            </w:r>
          </w:p>
        </w:tc>
        <w:tc>
          <w:tcPr>
            <w:tcW w:w="3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0" w:type="dxa"/>
            <w:vAlign w:val="bottom"/>
          </w:tcPr>
          <w:p>
            <w:pPr>
              <w:spacing w:after="0"/>
              <w:rPr>
                <w:sz w:val="1"/>
                <w:szCs w:val="1"/>
                <w:color w:val="auto"/>
              </w:rPr>
            </w:pPr>
          </w:p>
        </w:tc>
      </w:tr>
      <w:tr>
        <w:trPr>
          <w:trHeight w:val="76"/>
        </w:trPr>
        <w:tc>
          <w:tcPr>
            <w:tcW w:w="47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 Technology Transfer Obligation</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110"/>
        </w:trPr>
        <w:tc>
          <w:tcPr>
            <w:tcW w:w="4780" w:type="dxa"/>
            <w:vAlign w:val="bottom"/>
            <w:tcBorders>
              <w:bottom w:val="single" w:sz="8" w:color="CCEEFF"/>
            </w:tcBorders>
            <w:vMerge w:val="continue"/>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license programs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0" w:type="dxa"/>
            <w:vAlign w:val="bottom"/>
          </w:tcPr>
          <w:p>
            <w:pPr>
              <w:spacing w:after="0"/>
              <w:rPr>
                <w:sz w:val="1"/>
                <w:szCs w:val="1"/>
                <w:color w:val="auto"/>
              </w:rPr>
            </w:pPr>
          </w:p>
        </w:tc>
      </w:tr>
      <w:tr>
        <w:trPr>
          <w:trHeight w:val="76"/>
        </w:trPr>
        <w:tc>
          <w:tcPr>
            <w:tcW w:w="47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7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for the “Other license programs” relates to nine separate programs subject to individual agreements with Regeneron.</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Deferred revenue is classified as either current or noncurrent in the condensed consolidated balance sheets based on the period the revenue is expected to be recognized. Current deferred revenue was $3.2 million and $4.8 million as of March 31, 2026 and December 31, 2025, respectively, related only to the Research Services Obligation.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research and development costs related to the Regeneron Collaboration of $11.0 million during the three months ended March 31, 2026, and $18.9 million during the three months ended March 31, 2025.</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Vir Biotechnology, Inc.</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March 2025, we and Vir Biotechnology, Inc., or Vir, entered into an amended and restated collaboration and license agreement, or the Amended Vir Agreement, relating to elebsiran (formerly ALN-HBV02 (VIR-2218)). Vir remains solely responsible for development, manufacturing and commercialization of elebsiran. In connection with execution of the Amended Vir Agreement, Vir made a $30.0 million payment, and we remain entitled to receive milestone payments upon the achievement of specified regulatory and commercial milestones, and royalties on the net sales of elebsiran ranging from low-to-mid teen percentages. Because the license rights have already been delivered and we have no other remaining performance obligations under the Amended Vir Agreement, the $30.0 million payment was recognized within net revenues from collaborations during the three months ended March 31, 2025.</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collaboration agreements discussed above, we have various other collaboration agreements that are not individually significant to our operating results or financial condition at this time. Pursuant to the terms of those agreements, we may be required to pay, or we may receive, additional amounts contingent upon the occurrence of various future events (e.g.,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upon the achievement of various development and commercial milestones) which in the aggregate could be significant. We may also incur, or be reimbursed for, significant research and development costs. In addition, if any products related to these collaborations are approved for sale, we may be required to pay, or we may receive, royalties on future sales. The payment or receipt of these amounts, however, is contingent upon the occurrence of various future events. Due to the uncertainty of pharmaceutical development and the high historical failure rates generally associated with drug development and commercialization, it is possible we may not receive any such payments under all of our existing collaboration and license agreements, including the agreements described within this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financial assets that are measured at fair value on a recurring basis and indicate the fair value hierarchy of the valuation techniques we utilized to determine such fair value:</w:t>
      </w:r>
    </w:p>
    <w:p>
      <w:pPr>
        <w:spacing w:after="0" w:line="6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notes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government-sponsored enterprise securities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government-sponsored enterprise securities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notes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government-sponsored enterprise securities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1,416,233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1,274,871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there were no transfers into or out of Level 3 financial assets or liabilities. The carrying amounts reflected on our condensed consolidated balance sheets for cash, accounts receivable, net, other current assets, accounts payable and accrued expenses approximate fair value due to their short-term maturities.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DEBT SECURITIES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our excess cash balances in marketable debt securities and, at each balance sheet date presented, we classify all of our investments in debt securities as available-for-sale and as current assets as they represent the investment of funds available for current operations. We did not record any impairment charges related to our marketable debt securities during the three months ended March 31, 2026 or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marketable debt securities: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3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984,698</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328,318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government-sponsored enterprise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283,044</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1,602,397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672,293</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333,241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government-sponsored enterprise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255,324</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1,271,511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1,274,871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marketable debt securities by classification in the condensed consolidated balance sheets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16"/>
                <w:szCs w:val="16"/>
                <w:color w:val="auto"/>
              </w:rPr>
            </w:pP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1,251,234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1,274,871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OTHER BALANCE SHEET DETAILS</w:t>
            </w: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 w:type="dxa"/>
            <w:vAlign w:val="bottom"/>
          </w:tcPr>
          <w:p>
            <w:pPr>
              <w:spacing w:after="0"/>
              <w:rPr>
                <w:sz w:val="24"/>
                <w:szCs w:val="24"/>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24"/>
                <w:szCs w:val="24"/>
                <w:color w:val="auto"/>
              </w:rPr>
            </w:pP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$32.1 million and $28.9 million, respectively, of long-term inventory included within other assets in our condensed consolidated balance sheets as we anticipate it being consumed beyond our normal operating cycle.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our condensed consolidated balance sheets to the totals of these amounts shown in the condensed consolidated statements of cash flows: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1,710,779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1,019,654</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restricted cash included in other assets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1,712,419</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1,022,249</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cash flows</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by component:</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on Investment in</w:t>
            </w:r>
          </w:p>
        </w:tc>
        <w:tc>
          <w:tcPr>
            <w:tcW w:w="12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from Debt</w:t>
            </w: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 Net of Tax</w:t>
            </w: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(32,792)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0" w:type="dxa"/>
            <w:vAlign w:val="bottom"/>
          </w:tcPr>
          <w:p>
            <w:pPr>
              <w:spacing w:after="0"/>
              <w:rPr>
                <w:sz w:val="1"/>
                <w:szCs w:val="1"/>
                <w:color w:val="auto"/>
              </w:rPr>
            </w:pPr>
          </w:p>
        </w:tc>
      </w:tr>
      <w:tr>
        <w:trPr>
          <w:trHeight w:val="184"/>
        </w:trPr>
        <w:tc>
          <w:tcPr>
            <w:tcW w:w="37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before</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(32,792)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780" w:type="dxa"/>
            <w:vAlign w:val="bottom"/>
          </w:tcPr>
          <w:p>
            <w:pPr>
              <w:spacing w:after="0"/>
              <w:rPr>
                <w:sz w:val="24"/>
                <w:szCs w:val="2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on Investment in</w:t>
            </w:r>
          </w:p>
        </w:tc>
        <w:tc>
          <w:tcPr>
            <w:tcW w:w="1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24"/>
                <w:szCs w:val="24"/>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from Debt</w:t>
            </w: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0" w:type="dxa"/>
            <w:vAlign w:val="bottom"/>
          </w:tcPr>
          <w:p>
            <w:pPr>
              <w:spacing w:after="0"/>
              <w:rPr>
                <w:sz w:val="1"/>
                <w:szCs w:val="1"/>
                <w:color w:val="auto"/>
              </w:rPr>
            </w:pPr>
          </w:p>
        </w:tc>
      </w:tr>
      <w:tr>
        <w:trPr>
          <w:trHeight w:val="198"/>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 Net of Tax</w:t>
            </w: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7"/>
                <w:szCs w:val="17"/>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(32,792)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(4,249)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(34,518)</w:t>
            </w:r>
          </w:p>
        </w:tc>
        <w:tc>
          <w:tcPr>
            <w:tcW w:w="0" w:type="dxa"/>
            <w:vAlign w:val="bottom"/>
          </w:tcPr>
          <w:p>
            <w:pPr>
              <w:spacing w:after="0"/>
              <w:rPr>
                <w:sz w:val="1"/>
                <w:szCs w:val="1"/>
                <w:color w:val="auto"/>
              </w:rPr>
            </w:pPr>
          </w:p>
        </w:tc>
      </w:tr>
      <w:tr>
        <w:trPr>
          <w:trHeight w:val="175"/>
        </w:trPr>
        <w:tc>
          <w:tcPr>
            <w:tcW w:w="3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(32,792)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reclassified out of accumulated other comprehensive loss relate to settlements of marketable debt securities and amortization of our pension obligation which are recorded as other (expense) income, net in the condensed consolidated statements of operations and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DEBT AND OTHER FINANCING</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2028</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September 8, 2025, we commenced a private offering of $575.0 million in aggregate principal amount of 0.00% convertible senior notes due 2028, or the Initial 2028 Notes. On September 10, 2025, the initial purchasers in such offering exercised their option to purchase an additional $86.3 million in aggregate principal amount of our 0.00% Convertible Senior Notes due 2028, or the Additional 2028 Notes, and together with the Initial 2028 Notes referred to as the 2028 Notes, bringing the total aggregate principal amount of the 2028 Notes issued and outstanding to $661.3 million. The 2028 Notes are our senior unsecured obligations. The 2028 Notes were issued pursuant to an indenture, dated September 12, 2025, or the 2025 Indenture, between us and The Bank of New York Mellon, as trustee. The 2025 Indenture includes customary covenants and sets forth certain events of default after which the 2028 Notes may be declared immediately due and payable and sets forth certain types of bankruptcy or insolvency events of default involving us after which the 2028 Notes become automatically due and payable.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2028 Notes will mature on September 15, 2028, unless earlier converted, redeemed or repurchased. The 2028 Notes will not bear regular interest.</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Before June 15, 2028, noteholders will have the right to convert their 2028 Notes in certain circumstances and during specified periods: (1) during any calendar quarter commencing after the calendar quarter ending on December 31, 2025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the trading price per $1,000 principal amount of the 2028 Notes for each trading day of that ten consecutive trading day period was less than 98% of the product of the last reported sale price of our common stock and the conversion rate on such trading day; (3) if we call any or all of the 2028 Notes for redemption; or (4) upon the occurrence of specified corporate events. From and after June 15, 2028, the 2028 Notes will be convertible at the option of the noteholders at any time prior to the close of business on the second scheduled trading day immediately preceding the maturity date.</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settle any conversions of the 2028 Notes by paying or delivering, as applicable, cash, shares of our common stock, or a combination of cash and shares of common stock, at our election. The conversion rate for the 2028 Notes will initially be 1.4923 shares of common stock per $1,000 principal amount of 2028 Notes, which is equivalent to an initial conversion price of approximately $670.11 per share of common stock. The initial conversion price represents a premium of approximately 40% above the U.S. composite volume weighted average price of our common stock from 12:30 p.m. through 4:00 p.m. Eastern Daylight Time on September 9, 2025, which was $478.63 per share. The conversion rate is subject to adjustment under certain circumstances in accordance with the terms of the 2025 Indenture.</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may not redeem the 2028 Notes prior to September 20, 2027. We may redeem for cash all or any portion of the 2028 Notes (subject to certain limitations), at our option, on or after September 20, 2027 and on or prior to the 21st scheduled trading day immediately preceding the maturity date, if the last reported sale price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2028 Notes to be redeemed, plus any accrued and unpaid special interest to, but excluding, the redemption date. No sinking fund is provided for the 2028 Notes, which means that we are not required to redeem or retire the 2028 Notes periodically.</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If we undergo a fundamental change, which includes certain change of control events or a termination of trading of our common stock, then subject to certain conditions, holders may require us to repurchase for cash all or any portion of their notes at a fundamental change repurchase price equal to 100% of the principal amount of the 2028 Notes to be repurchased plus accrued and unpaid special interest. In addition, if specific corporate events occur prior to the maturity date or if we issue a notice of redemption, we will increase the conversion rate by pre-defined amounts for holders who elect to convert their notes in connection with such corporate event. The conditions allowing holders of the 2028 Notes to convert were not met during the quarter ended March 31, 2026.</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2028 Notes were issued at par. As of March 31, 2026 and December 31, 2025, the 2028 Notes were classified as a long-term liability on the condensed consolidated balance sheets and had a carrying value of $648.5 million and $647.2 million, respectively, representing the outstanding principal amount, net of unamortized issuance costs of $12.7 million and $14.0 million, respectively. The issuance costs are amortized to interest expense over the contractual term of the 2028 Notes. As of March 31, 2026 and December 31, 2025, the estimated fair value of the 2028 Notes was approximately $614.5 million and $637.0 million, respectively, which was determined based on the last actively traded price per $100 of the 2028 Notes (Level 2) on that day. As of March 31, 2026 and December 31, 2025, the effective interest rate of the 2028 Notes was 1%.</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 net proceeds from the issuance of the 2028 Notes to pay the cost of the 2025 Capped Call Transactions, and the remainder of the net proceeds, together with cash on hand, to repay $637.8 million aggregate principal amount of the 2027 Notes, as further discussed below.</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2025 Capped Call Transactions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in connection with the pricing of the 2028 Notes, we entered into privately negotiated capped call transactions, or 2025 Capped Call Transactions. The 2025 Capped Call Transactions initially cover, subject to customary anti-dilution adjustments, the number of shares of common stock that underlie the 2028 Notes. The initial cap price of the 2025 Capped Call Transactions is $837.61 per share, and is subject to certain adjustments under the terms of the 2025 Capped Call Transactions.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Capped Call Transactions are not part of the terms of the 2028 Notes and are accounted for as separate transactions. As these transactions are indexed to our own stock and are considered equity classified, they are recorded 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equity and are not accounted for as derivatives. The cost incurred in connection with the 2025 Capped Call Transactions of $35.3 million was recorded as a reduction to additional paid-in capital on our condensed consolidated balance sheet and the fair value of the capped call instrument is not remeasured each reporting period.</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2027</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September 12, 2022, we commenced a private offering of $900.0 million in aggregate principal amount of 1.00% Convertible Senior Notes due 2027, or the Initial 2027 Notes. On September 13, 2022, the initial purchasers in such offering exercised their option to purchase an additional $135.0 million in aggregate principal amount of our 1.00% Convertible Senior Notes due 2027, or the Additional 2027 Notes, and together with the Initial 2027 Notes collectively referred to as the 2027 Notes, bringing the total aggregate principal amount of the 2027 Notes to $1.04 billion. The 2027 Notes were issued pursuant to an indenture, dated September 15, 2022, or the 2022 Indenture. The 2022 Indenture includes customary covenants and sets forth certain events of default after which the 2027 Notes may be declared immediately due and payable and sets forth certain types of bankruptcy or insolvency events of default involving us after which the 2027 Notes become automatically due and payable. The 2027 Notes were issued at par.</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2027 Notes will mature on September 15, 2027, unless earlier converted, redeemed or repurchased. The 2027 Notes bear interest at a rate of 1.00% per year payable semiannually in arrears on March 15 and September 15 of each year, beginning on March 15, 2023. The 2027 Notes are convertible at the option of the noteholder on or after June 15, 2027. Prior to June 15, 2027, the 2027 Notes are convertible only under the following circumstances: (1) during any calendar quarter commencing after the calendar quarter ending on December 31, 2022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the trading price per $1,000 principal amount of the 2027 Notes for each trading day of that ten consecutive trading day period was less than 98% of the product of the last reported sale price of our common stock and the conversion rate of the 2027 Notes on such trading day; (3) if we call any or all of the 2027 Notes for redemption; or (4) upon the occurrence of specific corporate events as set forth in the 2022 Indenture governing the 2027 Notes.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will settle any conversions of the 2027 Notes by paying or delivering, as applicable, cash, shares of our common stock, or a combination of cash and shares of common stock, at our election. The initial conversion rate for the 2027 Notes is 3.4941 shares of common stock per $1,000 principal amount, which is equivalent to an initial conversion price of approximately $286.20 per share of common stock, which represents a premium of approximately 35% over the last reported sale price of common stock of $212.00 per share on September 12, 2022. The conversion rate is subject to adjustment under certain circumstances in accordance with the terms of the 2022 Indenture. The condition allowing holders of the 2027 Notes to convert was met in the fourth quarter of 2025 due to our common stock trading for at least 20 days during a period of 30 consecutive trading days ending on, and including, the last trading day of the quarter above 130% of the conversion price, and the 2027 Notes were convertible at the option of the holders in the first quarter of 2026. The same condition was not met in the first quarter of 2026, and the 2027 Notes will not be convertible in the second quarter of 2026.</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able to redeem the 2027 Notes after September 20, 2025. We may redeem for cash equal to 100% of the principal amount of the 2027 Notes being redeemed plus accrued and unpaid interest of all or any portion of the 2027 Notes, at our option, on or after September 20, 2025, if the last reported sales price of our common stock has been at least 130% of the conversion price then in effect for at least 20 trading days (whether or not consecutive) during any 30 consecutive trading day period. As of March 31, 2026, we have not redeemed any of the 2027 Notes under this option.</w:t>
      </w:r>
    </w:p>
    <w:p>
      <w:pPr>
        <w:spacing w:after="0" w:line="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No sinking fund is provided for the 2027 Notes and therefore we are not required to redeem or retire the 2027 Notes periodically. If we undergo a fundamental change, which includes certain change of control events or a termination of trading of our common stock, then subject to certain conditions, holders may require us to repurchase for cash all or any portion of their 2027 Notes at a fundamental change repurchase price equal to 100% of the principal amount of the 2027 Notes to be repurchased plus accrued and unpaid interest. In addition, if specific corporate events occur prior to the maturity date or if we issue a notice of redemption, we will increase the conversion rate by pre-defined amounts for holders who elect to convert their notes in connection with such corporate event.</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September 2025, concurrently with the pricing of the 2028 Notes, we entered into privately negotiated transactions with certain holders of the 2027 Notes to repurchase for cash $637.8 million aggregate principal amount of the outstanding 2027 Notes for a total repurchase cost (including accrued and unpaid interest of $3.1 million) of approximately $1.11 billion. The repurchase was accounted for as an induced conversion. We recorded an inducement expense of $39.1 million within loss related to convertible debt in the consolidated statements of operations and comprehensive income (loss) for the year ended December 31, 2025 and a charge to additional paid-in capital of $430.4 million within stockholders’ equity.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2025, we entered into privately negotiated transactions with certain holders of the 2027 Notes to repurchase for cash $34.4 million aggregate principal amount of the outstanding 2027 Notes for a total repurchase cost (including accrued and unpaid interest of $0.1 million) of approximately $52.3 million. The repurchase was accounted for as an induced conversion. We recorded an inducement expense of $3.3 million within loss related to convertible debt in the consolidated statements of operations and comprehensive income (loss) for the year ended December 31, 2025 and a charge to additional paid-in capital of $14.8 million within stockholders’ equity.</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31, 2026 and December 31, 2025, we had $362.8 million aggregate principal amount of the 2027 Notes outstanding. As of March 31, 2026 and December 31, 2025, the 2027 Notes were classified as a long-term liability on the condensed consolidated balance sheets and had a carrying value of $360.9 million and $360.5 million, respectively, representing outstanding principal amount net of unamortized issuance costs of $2.0 million and $2.3 million, respectively. The issuance costs are amortized to interest expense over the contractual term of the 2027 Notes. As of March 31, 2026 and December 31, 2025, the estimated fair value of the 2027 Notes was approximately $458.0 million and $534.1 million, respectively, which was determined based on the last actively traded price per $100 of the 2027 Notes (Level 2) on the respective dates. As of March 31, 2026 and December 31, 2025, the effective interest rate of the 2027 Notes was 1%.</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2022 Capped Call Transactions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2022, in connection with the pricing of the 2027 Notes, we entered into privately negotiated capped call transactions, or 2022 Capped Call Transactions. The 2022 Capped Call Transactions initially cover, subject to customary anti-dilution adjustments, the number of shares of common stock that underlie the 2027 Notes. The cap price of the 2022 Capped Call Transactions is initially $424.00 per share, which represents a premium of 100% over the last reported sale price of common stock of $212.00 per share on September 12, 2022, and is subject to certain adjustments under the terms of the 2022 Capped Call Transactions. As of March 31, 2026, the 2022 Capped Call Transactions remained outstanding. Because these transactions are indexed to our own stock and are considered equity classified, they were recorded in stockholders’ equity and are not accounted for as derivatives. The cost incurred to purchase the 2022 Capped Calls was recorded as a reduction to additional paid-in capital on our condensed consolidated balance sheets and the fair value of the capped call instrument is not remeasured each reporting period.</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2025, we entered into the Revolving Credit Agreement, which provides for a $500.0 million revolving line of credit, including a $150.0 million sublimit for issuance of letters of credit. The Revolving Credit Agreement matures in September 2030, subject to earlier springing maturity under certain circumstances.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Borrowings, if any, will bear interest, at our option, at a base rate plus an applicable margin ranging from 0.50% to 1.50% based upon the total leverage ratio or a term Secured Overnight Financing Rate (or an alternative currency term rate) plus an applicable margin ranging from 1.50% to 2.50% based upon the total leverage ratio. We are required to pay, on a quarterly basis, a commitment fee ranging between 0.20% to 0.35% (depending on our total leverage ratio) of unused available commitments under the Revolving Credit Agreement. We are also obligated to pay the administrative agent fees customary for revolving credit facilities of this size and type.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Revolving Credit Agreement contains customary affirmative and negative covenants and conditions to borrowing, as well as customary events of default. In addition, the Revolving Credit Agreement contains financial covenants that require us to maintain a total leverage ratio less than or equal to 3.75:1.00 and an interest coverage ratio greater than or equal to 3.00:1.00, each tested at the end of each fiscal quarter. As of March 31, 2026, we were in compliance with the financial covenants.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no borrowings and $17.5 million of letters of credit outstanding under the Revolving Credit Agreement.</w:t>
      </w:r>
    </w:p>
    <w:p>
      <w:pPr>
        <w:spacing w:after="0" w:line="172" w:lineRule="exact"/>
        <w:rPr>
          <w:sz w:val="20"/>
          <w:szCs w:val="20"/>
          <w:color w:val="auto"/>
        </w:rPr>
      </w:pPr>
    </w:p>
    <w:p>
      <w:pPr>
        <w:ind w:left="180" w:right="2880" w:hanging="172"/>
        <w:spacing w:after="0" w:line="362" w:lineRule="auto"/>
        <w:tabs>
          <w:tab w:leader="none" w:pos="19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LIABILITIES RELATED TO THE SALE OF FUTURE ROYALTIES AND DEVELOPMENT FUNDING </w:t>
      </w:r>
      <w:r>
        <w:rPr>
          <w:rFonts w:ascii="Times New Roman" w:cs="Times New Roman" w:eastAsia="Times New Roman" w:hAnsi="Times New Roman"/>
          <w:sz w:val="18"/>
          <w:szCs w:val="18"/>
          <w:i w:val="1"/>
          <w:iCs w:val="1"/>
          <w:color w:val="auto"/>
        </w:rPr>
        <w:t>Development Funding Liabilities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August 2020, we entered into a co-development agreement, referred to as the Development Funding Agreement, with BXLS V Bodyguard – PCP L.P. and BXLS Family Investment Partnership V – ESC L.P., collectively referred to as Blackstone Life Sciences, pursuant to which Blackstone Life Sciences will provide up to $150.0 million in funding for the clinical development of vutrisiran and zilebesiran, two of our cardiometabolic programs. As of March 31, 2026, Blackstone Life Sciences has provided $70.0 million to fund vutrisiran development costs related to the HELIOS-B Phase 3 clinical trial and $26.0 million to fund Phase 2 clinical trials of zilebesiran. Additionally, Blackstone Life Sciences is obligated to fund $18.0 million for the Phase 3 clinical trial of zilebesiran following a development milestone triggered in September 2025, of which $12.0 million has been provided as of March 31, 2026. The amount of funding ultimately provided by Blackstone Life Sciences for the Phase 3 clinical trial of zilebesiran is dependent on us achieving the remaining specified development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milestones. As agreed between Blackstone Life Sciences and the Company, we retain sole responsibility for the development and commercialization of both vutrisiran and zilebesiran.</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consideration for Blackstone Life Sciences’ funding for vutrisiran clinical development costs, we agreed to pay Blackstone Life Sciences $175.0 million triggered upon obtaining regulatory approval of vutrisiran for ATTR amyloidosis with cardiomyopathy, or ATTR-CM, and a 1% royalty on net sales of vutrisiran for a 10-year term beginning upon the first commercial sale following regulatory approval of vutrisiran for ATTR-CM. In March 2025, we obtained a regulatory approval from the FDA for vutrisiran for ATTR-CM, triggering the $175.0 million payable to Blackstone Life Sciences in eight equal quarterly payments over two years.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2023, we announced positive topline results from the KARDIA-1 Phase 2 clinical trial of zilebesiran, triggering the achievement of the development milestone of $84.5 million payable to Blackstone Life Sciences in 16 equal quarterly payments over four years, as consideration for Blackstone Life Sciences’ funding for Phase 2 clinical development costs of zilebesiran. As consideration for funding for Phase 3 clinical development costs of zilebesiran, we agreed to pay Blackstone Life Sciences $243.0 million in 16 equal quarterly payments over four years triggered upon regulatory approval of zilebesiran in specified countries, unless it is later withdrawn from the market following a mandatory recall.</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payment obligations under the Development Funding Agreement are secured, subject to certain exceptions, by security interests in intellectual property owned by us relating to vutrisiran and zilebesiran, as well as in our bank account in which the funding deposits will be made.</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and Blackstone Life Sciences each have the right to terminate the Development Funding Agreement in its entirety in the event of the other party’s bankruptcy or similar proceedings. We and Blackstone Life Sciences may each terminate the Development Funding Agreement in its entirety or with respect to either product in the event of an uncured material breach by the other party, or with respect to a product for certain patient health and safety reasons, or if regulatory approval in specified major market countries is not obtained for the product following the completion of clinical trials for the product. In addition, Blackstone Life Sciences has the right to terminate the Development Funding Agreement in its entirety upon the occurrence of certain events affecting our ability to make payments under the agreement or to develop or commercialize the products, or upon a change of control of us. Blackstone Life Sciences may also terminate the Development Funding Agreement with respect to a product if the joint steering committee elects to terminate the development program for that product in its entirety, if certain clinical endpoints are not achieved for that product or, with respect to vutrisiran only, if our right to develop or commercialize vutrisiran is enjoined in a specified major market as a result of an alleged patent infringement. In certain termination circumstances, we will be obligated to pay Blackstone Life Sciences an amount that is equal to, or a multiplier of, the development funding received from Blackstone Life Sciences, and we may remain obligated under certain circumstances to make the payments to Blackstone Life Sciences described above should we obtain regulatory approval for zilebesiran following termination.</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debt obligations to repay Blackstone Life Sciences for the vutrisiran and zilebesiran funding are accreted from the initial carrying amount to the total payment amount using the effective interest rate method over the life of the Development Funding Agreement. The effective interest rate is determined based on the proceeds received and projections of the amounts and timing of the future cash flows. The accretion is recorded as interest expense in the condensed consolidated statements of operations and comprehensive income (loss). We recognize the proceeds received and the principal portion of payments made to Blackstone Life Sciences as financing activities within the condensed consolidated statements of cash flows. As of March 31, 2026, our estimate of total interest expense resulted in an effective annual interest rate of 49% related to vutrisiran and 32% related to zilebesiran.</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payments are made to Blackstone Life Sciences, the balance of the liabilities is effectively repaid over the life of the Development Funding Agreement. The exact timing and amount of repayment is likely to change each reporting period. A significant increase or decrease in vutrisiran global net product revenues will materially impact the liability related to the vutrisiran payments and interest expense recognized. At each balance sheet date, we assess the expected payments to Blackstone Life Sciences and we prospectively adjust the amortization of the liabilities and the related interest expense.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 respect to the vutrisiran development funding liability,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8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December 31, 2025</w:t>
            </w:r>
          </w:p>
        </w:tc>
        <w:tc>
          <w:tcPr>
            <w:tcW w:w="36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194,153</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paid</w:t>
            </w:r>
          </w:p>
        </w:tc>
        <w:tc>
          <w:tcPr>
            <w:tcW w:w="3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March 31, 2026</w:t>
            </w:r>
          </w:p>
        </w:tc>
        <w:tc>
          <w:tcPr>
            <w:tcW w:w="3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187,937</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12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14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$98.5 million and $94.5 million, respectively, within liabilities related to the sale of future royalties and development funding and $89.4 million and $99.7 million, respectively, within liabilities related to the sale of future royalties and development funding, net of current portion on our condensed consolidated balance sheets related to the vutrisiran development funding liability.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 respect to the zilebesiran development funding liability, in thousands:</w:t>
      </w:r>
    </w:p>
    <w:p>
      <w:pPr>
        <w:spacing w:after="0" w:line="149" w:lineRule="exact"/>
        <w:rPr>
          <w:sz w:val="20"/>
          <w:szCs w:val="20"/>
          <w:color w:val="auto"/>
        </w:rPr>
      </w:pPr>
    </w:p>
    <w:tbl>
      <w:tblPr>
        <w:tblLayout w:type="fixed"/>
        <w:tblInd w:w="1480" w:type="dxa"/>
        <w:tblCellMar>
          <w:top w:w="0" w:type="dxa"/>
          <w:left w:w="0" w:type="dxa"/>
          <w:bottom w:w="0" w:type="dxa"/>
          <w:right w:w="0" w:type="dxa"/>
        </w:tblCellMar>
      </w:tblP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December 31, 2025</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paid</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received</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March 31, 2026</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$7.5 million and $6.8 million, respectively, within liabilities related to the sale of future royalties and development funding and $12.1 million and $10.3 million, respectively, within liabilities related to the sale of future royalties and development funding, net of current portion on our condensed consolidated balance sheets related to the zilebesiran development funding liability.</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the vutrisiran and zilebesiran development funding liabilities were $558.1 million and $118.3 million, respectively, as of March 31, 2026, and $541.3 million and $116.2 million, respectively, as of December 31, 2025, based on our current estimates of future payments over the life of the arrangements and an estimated market participant weighted average cost of capital, which are considered Level 3 inputs.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Liability Related to the Sale of Future Royalties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2020, we entered into a purchase and sale agreement, or Purchase Agreement, with BX Bodyguard Royalties L.P. (an affiliate of The Blackstone Group Inc.), or Blackstone Royalties, pursuant to which Blackstone Royalties acquired a percentage of royalties payable, or the Royalty Interest, initially set at 50% with respect to net sales by MDCO, its affiliates or sublicensees of inclisiran (or the branded drug product, Leqvio) and any other licensed products under the MDCO License Agreement, and 75% of the commercial milestone payments payable under the MDCO License Agreement, together with the Royalty Interest, the Purchased Interest. If Blackstone Royalties does not receive payments in respect to the Royalty Interest by December 31, 2029, equaling at least $1.00 billion, Blackstone Royalties will receive the Royalty Interest at 55% beginning on January 1, 2030. In consideration for the sale of the Purchased Interest, Blackstone Royalties paid us $1.00 billion.</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Due to our continuing involvement and an obligation to repay Blackstone Royalties, we recorded the proceeds from this transaction as a debt, net of closing costs, on our condensed consolidated balance sheets. The debt obligations to repay the Purchased Interest are accreted from the initial carrying amount to the total payment amount using the effective interest rate method over the life of the Purchase Agreement. The effective interest rate is determined based on the proceeds received and projections of the amounts and timing of the future cash flows. The accretion is recorded as interest expense in the condensed consolidated statements of operations and comprehensive income (loss). As of March 31, 2026 and December 31, 2025, our estimate of this total interest expense resulted in an effective annual interest rate of 11% and 10%, respectively. These estimates contain assumptions that impact both the amount recorded at execution and the interest expense that will be recognized in future periods. We account for any royalties and commercial milestones due to us under the MDCO License Agreement as revenue on our condensed consolidated statements of operations and comprehensive income (loss).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payments are made to Blackstone Royalties, the balance of the liability is effectively repaid over the life of the Purchase Agreement. The exact timing and amount of repayment is likely to change each reporting period. A significant increase or decrease in Leqvio global net revenue will materially impact the liability, interest expense and the time period for repayment. At each balance sheet date, we assess the expected payments to Blackstone Royalties and we prospectively adjust the amortization of the liability and the related interest expense.</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the liability was $1.49 billion and $1.48 billion, net of closing costs of $8.1 million and $8.3 million, respectively. As of March 31, 2026 and December 31, 2025, the fair value of the liability was $1.67 billion and $1.61 billion, respectively, based on our current estimates of future payments over the life of the arrangements and an estimated market participant weighted average cost of capital, which are considered Level 3 inputs.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activity with respect to the liability, in thousands: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22"/>
        </w:trPr>
        <w:tc>
          <w:tcPr>
            <w:tcW w:w="15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9"/>
        </w:trPr>
        <w:tc>
          <w:tcPr>
            <w:tcW w:w="150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as of December 31, 2025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1,479,209</w:t>
            </w:r>
          </w:p>
        </w:tc>
      </w:tr>
      <w:tr>
        <w:trPr>
          <w:trHeight w:val="229"/>
        </w:trPr>
        <w:tc>
          <w:tcPr>
            <w:tcW w:w="150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40,464</w:t>
            </w:r>
          </w:p>
        </w:tc>
      </w:tr>
      <w:tr>
        <w:trPr>
          <w:trHeight w:val="230"/>
        </w:trPr>
        <w:tc>
          <w:tcPr>
            <w:tcW w:w="150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w:t>
            </w:r>
          </w:p>
        </w:tc>
      </w:tr>
      <w:tr>
        <w:trPr>
          <w:trHeight w:val="223"/>
        </w:trPr>
        <w:tc>
          <w:tcPr>
            <w:tcW w:w="150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 as of March 31, 2026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1,489,622</w:t>
            </w:r>
          </w:p>
        </w:tc>
      </w:tr>
      <w:tr>
        <w:trPr>
          <w:trHeight w:val="21"/>
        </w:trPr>
        <w:tc>
          <w:tcPr>
            <w:tcW w:w="1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$121.5 million and $118.8 million, respectively, within liabilities related to the sale of future royalties and development funding and $1.37 billion and $1.36 billion, respectively, within liabilities related to the sale of future royalties and development funding, net of current portion related to the Purchased Interest.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operating costs and expenses on our condensed consolidated statements of operations and comprehensive income (loss), and stock-based compensation charges included in additional paid-in capital on our condensed consolidated statements of stockholders' equity:</w:t>
      </w:r>
    </w:p>
    <w:p>
      <w:pPr>
        <w:spacing w:after="0" w:line="123" w:lineRule="exact"/>
        <w:rPr>
          <w:sz w:val="20"/>
          <w:szCs w:val="20"/>
          <w:color w:val="auto"/>
        </w:rPr>
      </w:pPr>
    </w:p>
    <w:tbl>
      <w:tblPr>
        <w:tblLayout w:type="fixed"/>
        <w:tblInd w:w="158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charges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COMMON SHARE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compute basic net income (loss) per common share by dividing net income (loss) by the weighted-average number of common shares outstanding. Diluted net income per common share utilizing the treasury stock and if-converted methods is based upon the weighted-average number of common shares and dilutive potential common share equivalents outstanding during the period. For periods in which we have generated a net loss, diluted net loss per common share is the same as basic net loss per common share, as the inclusion of potentially dilutive common shares would be anti-dilutive.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w:t>
      </w:r>
    </w:p>
    <w:p>
      <w:pPr>
        <w:spacing w:after="0" w:line="138" w:lineRule="exact"/>
        <w:rPr>
          <w:sz w:val="20"/>
          <w:szCs w:val="20"/>
          <w:color w:val="auto"/>
        </w:rPr>
      </w:pPr>
    </w:p>
    <w:tbl>
      <w:tblPr>
        <w:tblLayout w:type="fixed"/>
        <w:tblInd w:w="13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0" w:type="dxa"/>
            <w:vAlign w:val="bottom"/>
          </w:tcPr>
          <w:p>
            <w:pPr>
              <w:spacing w:after="0"/>
              <w:rPr>
                <w:sz w:val="1"/>
                <w:szCs w:val="1"/>
                <w:color w:val="auto"/>
              </w:rPr>
            </w:pPr>
          </w:p>
        </w:tc>
      </w:tr>
      <w:tr>
        <w:trPr>
          <w:trHeight w:val="338"/>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Adjustment for the elimination of interest expense on the convertible debt</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for use in diluted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basic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129,676</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debt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to purchase common stock, inclusive of performance-based stock options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units, inclusive of performance-based restricted stock units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potential common shares (prior to consideration of the treasury stock or if-converted methods) excluded from the calculation of diluted net loss per common share because their inclusion would be anti-dilutive:</w:t>
      </w:r>
    </w:p>
    <w:p>
      <w:pPr>
        <w:spacing w:after="0" w:line="8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7520" w:type="dxa"/>
            <w:vAlign w:val="bottom"/>
          </w:tcPr>
          <w:p>
            <w:pPr>
              <w:spacing w:after="0"/>
              <w:rPr>
                <w:sz w:val="17"/>
                <w:szCs w:val="17"/>
                <w:color w:val="auto"/>
              </w:rPr>
            </w:pPr>
          </w:p>
        </w:tc>
        <w:tc>
          <w:tcPr>
            <w:tcW w:w="124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r>
      <w:tr>
        <w:trPr>
          <w:trHeight w:val="19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inclusive of performance-based stock 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inclusive of performance-based restricted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11,658</w:t>
            </w:r>
          </w:p>
        </w:tc>
      </w:tr>
      <w:tr>
        <w:trPr>
          <w:trHeight w:val="20"/>
        </w:trPr>
        <w:tc>
          <w:tcPr>
            <w:tcW w:w="7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 of the 2022 Capped Call Transactions and 2025 Capped Call Transactions was also excluded from the calculation of diluted net income (loss) per share because exercise of these transactions would potentially reduce the number of shares of the Company’s common stock outstanding and, therefore, would be anti-dilutive. In the three months ended March 31, 2026, we excluded 8.5 million shares and in the three months ended March 31, 2025, we excluded 5.2 million shares related to these transactions.</w:t>
      </w:r>
    </w:p>
    <w:p>
      <w:pPr>
        <w:spacing w:after="0" w:line="187" w:lineRule="exact"/>
        <w:rPr>
          <w:sz w:val="20"/>
          <w:szCs w:val="20"/>
          <w:color w:val="auto"/>
        </w:rPr>
      </w:pPr>
    </w:p>
    <w:p>
      <w:pPr>
        <w:ind w:left="180" w:right="7520" w:hanging="172"/>
        <w:spacing w:after="0" w:line="383" w:lineRule="auto"/>
        <w:tabs>
          <w:tab w:leader="none" w:pos="288"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License and Other Commitments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licensed from third parties the rights to use certain technologies and information in our research processes as well as in any other products we may develop. In accordance with the related license or technology agreements, we are required to make certain fixed payments to the licensor or a designee of the licensor over various agreement terms. Many of these agreement terms are consistent with the remaining lives of the underlying intellectual property that we have licensed. As of March 31, 2026, our commitments over the next five years to make fixed and cancellable payments under existing license agreements were not material.</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a party to litigation, arbitration or other legal proceedings in the ordinary course of our business activities, including the following types of matters which are common to companies in our industry: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which typically involves challenges to the coverage and/or validity of patents on various products or product candidates, processes or dosage forms. An adverse outcome could result in loss of patent protection for a product or product candidates, a significant loss of revenues from a product or impairment of the value of associated assets.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and other product-related litigation related to our products, which could include personal injury, consumer fraud, off-label promotion, securities, antitrust and breach of contract claims, among others, and often involves highly complex issues relating to medical causation, label warnings and reliance on those warnings, scientific evidence and findings, actual, provable injury and other matters.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other asserted or unasserted matters, which can include acquisition-, licensing-, intellectual property-, collaboration- or co-promotion-related and product-pricing claims and environmental claims and proceedings, which can involve complexities that will vary from matter to matter.</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which often are related to the extensive regulation of pharmaceutical companies by national, state and local government agencies in the U.S. and in other jurisdictions.</w:t>
      </w:r>
    </w:p>
    <w:p>
      <w:pPr>
        <w:spacing w:after="0" w:line="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it could have a materially adverse effect on our business, results of operations, liquidity and financial condition.</w:t>
      </w:r>
    </w:p>
    <w:p>
      <w:pPr>
        <w:spacing w:after="0" w:line="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If we determine that it is probable that future expenditures will be made for a particular matter and such expenditures can be reasonably estimated, we accrue a loss contingency based on our best estimate of the probable range of loss. We accrue the minimum amount within the probable range of loss if no amount within the range is more likely than another. If we determine that future expenditures are not probable, or probable but not reasonably estimated, we do not accrue a loss contingency. If we determine that a material loss is reasonably possible and the range of loss can be estimated, we disclose the possible range of loss. On a quarterly basis, we evaluate developments with these claims and legal proceedings that could result in a loss contingency accrual, or an increase or decrease to a previously accrued loss contingency. There were no material loss contingencies accrued as of March 31, 2026 or 2025.</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Patent Litigation</w:t>
      </w:r>
    </w:p>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12, 2024, The Board of Regents of the University of Texas System filed a lawsuit in the U.S. District Court for the Western District of Texas, or the Texas District Court, alleging that we infringe U.S. Patent No. 8,895,717 by making, using and commercializing ONPATTRO in the U.S. On February 5, 2025, we filed a motion to dismiss the case for improper venue and an alternative motion to transfer the case to the U.S. District Court for the District of Massachusetts if the dismissal is not granted. On July 2, 2025, the Texas District Court denied the motion to dismiss and to transfer the case without prejudice, and we filed a renewed motion to dismiss and to transfer the case on September 24, 2025. On December 15, 2025, the court granted in part and denied in part our motion to dismiss and ordered the case transferred to the U.S. District Court for the District of Massachusetts after determining that venue was improper in the Western District of Texas. The case is now proceeding in the District of Massachusetts, and a claim construction hearing is scheduled for July 2026.</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13, 2026, we and our collaborators, Novartis Pharmaceuticals Corp., Novartis Technology LLC, and The Medicines Company, filed a patent infringement lawsuit against Cipla USA Inc. and Cipla Ltd, or collectively Cipla, in the U.S. District Court for the District of Delaware based on Cipla’s abbreviated new drug application seeking approval from the FDA to market a generic version of Leqvio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(inclisiran).</w:t>
      </w:r>
    </w:p>
    <w:p>
      <w:pPr>
        <w:ind w:left="180"/>
        <w:spacing w:after="0"/>
        <w:rPr>
          <w:sz w:val="20"/>
          <w:szCs w:val="20"/>
          <w:color w:val="auto"/>
        </w:rPr>
      </w:pPr>
      <w:r>
        <w:rPr>
          <w:rFonts w:ascii="Times New Roman" w:cs="Times New Roman" w:eastAsia="Times New Roman" w:hAnsi="Times New Roman"/>
          <w:sz w:val="18"/>
          <w:szCs w:val="18"/>
          <w:i w:val="1"/>
          <w:iCs w:val="1"/>
          <w:color w:val="auto"/>
        </w:rPr>
        <w:t>Government Investigation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2025, we received a subpoena from the U.S. Attorney’s Office for the District of Massachusetts seeking documents pertaining to our government price reporting for AMVUTTRA, ONPATTRO, OXLUMO and GIVLAARI, including certain fee and discount arrangements with distributors, and certain other related documents and communications. We have produced records responsive to the subpoena and are continuing to engage with the U.S. Attorney’s Office.</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 Obligations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connection with license agreements we may enter with companies to obtain rights to intellectual property, we may be required to indemnify such companies for certain damages arising in connection with the intellectual property rights licensed under the agreements. Under such agreements, we may be responsible for paying the costs of any litigation relating to the license agreements or the underlying intellectual property rights, including the costs associated with certain litigation regarding the licensed intellectual property. We are also a party to a number of agreements entered into in the ordinary course of business, which contain typical provisions that obligate us to indemnify the other parties to such agreements upon the occurrence of certain events, including litigation or other legal proceedings. In addition, we have agreed to indemnify our officers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ALNYLAM PHARMACEUTICALS,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directors for expenses, judgments, fines, penalties, excise taxes, and settlement amounts paid in connection with any threatened, pending or completed litigation proceedings, in which an officer or director was, is or will be involved as a party, on account of such person’s status as an officer or director, or by reason of any action taken by the officer or director while acting in such capacity, subject to certain limitations. These indemnification costs are charged to selling, general and administrative expense.</w:t>
      </w:r>
    </w:p>
    <w:p>
      <w:pPr>
        <w:spacing w:after="0" w:line="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maximum potential future liability under any such indemnification provisions is uncertain. We have reviewed the estimated aggregate fair value of our potential liabilities under all such indemnification provisions and have not recorded any related liability as of March 31,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in a single segment dedicated to the discovery, development, manufacturing and commercialization of RNAi therapeutics. Consistent with our management reporting, results of our operations are reported on a consolidated basis for purposes of segment reporting. Our Chief Executive Officer, or CEO, as the chief operating decision maker, or CODM, evaluates performance and decides how to allocate resources based on consolidated net income (loss) that is reported on the condensed consolidated statements of operations and comprehensive income (loss). The measure of segment assets is reported on the condensed consolidated balance sheets as total assets. Please refer to the condensed consolidated financial statements for further information related to these measures of segment performance. In addition, research and development and selling, general and administrative expenses are significant segment expenses regularly provided to the CEO with the following categories:</w:t>
      </w:r>
    </w:p>
    <w:p>
      <w:pPr>
        <w:spacing w:after="0" w:line="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127,343</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related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99,187</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Occupancy and all other costs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38,592</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265,122</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2"/>
                <w:szCs w:val="22"/>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163,077</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131,437</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64,687</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43,825</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322,551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239,949</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Occupancy and all other costs includes facilities, information technology, depreciation and certain departmental expenses.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8"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management’s discussion and analysis of our financial condition and results of operations and should be read together with our unaudited condensed consolidated financial statements and the notes thereto included elsewhere in this Quarterly Report on Form 10-Q.</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a global commercial-stage biopharmaceutical company developing novel therapeutics based on ribonucleic acid interference, or RNAi. RNAi is a naturally occurring biological pathway within cells for sequence-specific silencing and regulation of gene expression. By harnessing the RNAi pathway, we have pioneered a new class of innovative medicines, known as RNAi therapeutics. RNAi therapeutics are comprised of small interfering RNA, or siRNA, that function upstream of conventional medicines by potently silencing messenger RNA, or mRNA, that encode for proteins implicated in the cause or pathway of disease, thus preventing them from being made. We believe this is a revolutionary approach with the potential to transform the care of patients across a broad range of disease areas and indications. To date, our efforts to advance this revolutionary approach have yielded the approval of six first-in-class RNAi-based medicines: AMVUTTRA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(vutrisiran), ONPATTRO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(patisiran), GIVLAARI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(givosiran), OXLUMO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(lumasiran), Leqvio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(inclisiran) and Qfitlia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(fitusiran).</w:t>
      </w:r>
    </w:p>
    <w:p>
      <w:pPr>
        <w:spacing w:after="0" w:line="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research and development strategy is to target genetically validated genes that have been implicated in the cause or pathway of human disease. We utilize a N-acetylgalactosamine (GalNAc) conjugate approach or lipid nanoparticle (LNP) to enable hepatic delivery of siRNAs. For delivery to the central nervous system, or CNS, and the eye (ocular delivery), we are utilizing an alternative conjugate approach based on a hexadecyl (C16) moiety as a lipophilic ligand. We are also advancing approaches for heart, skeletal muscle and adipose tissue delivery of siRNAs. Our focus is on clinical indications where there is a high unmet need, a genetically validated target, early biomarkers for the assessment of clinical activity in Phase 1 clinical trials, and a definable path for drug development, regulatory approval, patient access and commercialization.</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early 2026, we launched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 to drive the Company’s next era of growth and patient impact, and we currently have six marketed products, including two products that are commercialized by collaborators, and more than 25 clinical programs, including several in late-stage development.</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AMVUTTRA is approved in the United States, or U.S., for the treatment of hereditary transthyretin-mediated amyloidosis, or hATTR amyloidosis, with polyneuropathy in adults, in the European Union, or EU, and the United Kingdom, or UK, for the treatment of hATTR amyloidosis in adult patients with stage 1 or stage 2 polyneuropathy, in Japan for the treatment of transthyretin, or TTR, type familial amyloidosis with polyneuropathy, and in multiple additional countries. In March 2025, the United States Food and Drug Administration, or the FDA, approved our supplemental New Drug Application, or sNDA, for AMVUTTRA for the treatment of the cardiomyopathy of wild-type or hereditary transthyretin-mediated amyloidosis in adults to reduce cardiovascular mortality, cardiovascular hospitalizations and urgent heart failure visits. In June 2025, the European Commission, or EC, granted approval of AMVUTTRA for the treatment of wild-type or hereditary transthyretin amyloidosis in adult patients with cardiomyopathy, following a positive opinion from the Committee for Medicinal Products for Human Use of the European Medicines Agency. AMVUTTRA has also been approved by the Brazilian Health Regulatory Agency, or ANVISA, the Japanese Health Authority, or PMDA, the UK’s Medicines and Healthcare Products Regulatory Agency, or MHRA, and Health Canada for the treatment of ATTR amyloidosis with cardiomyopathy. Regulatory reviews continue in other territories.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ONPATTRO is approved in the U.S. for the treatment of the polyneuropathy of hATTR amyloidosis in adults and has also been approved in the EU for the treatment of hATTR amyloidosis in adult patients with stage 1 or stage 2 polyneuropathy, in Japan for the treatment of TTR-type familial amyloidosis with polyneuropathy, and in multiple additional countries. In February 2025, ONPATTRO received regulatory approval from ANVISA in Brazil for the treatment of ATTR amyloidosis with cardiomyopathy.</w:t>
      </w:r>
    </w:p>
    <w:p>
      <w:pPr>
        <w:spacing w:after="0" w:line="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GIVLAARI is approved in the U.S. for the treatment of adults with acute hepatic porphyria, or AHP, in the EU for the treatment of AHP in adults and adolescents aged 12 years and older, and in several other countries. Regulatory filings for givosiran (the generic name of GIVLAARI) in additional territories are pending or planned during 2026 and beyond.</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OXLUMO is approved in the U.S. for the treatment of primary hyperoxaluria type 1, or PH1, to lower urinary and plasma oxalate levels in pediatric and adult patients, and in the EU and the UK for the treatment of PH1 in all age groups. OXLUMO has also been approved in several other countries and regulatory filings for lumasiran (the generic name of OXLUMO) in additional territories are pending or planned during 2026 and beyond.</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Leqvio (inclisiran) is being developed and commercialized by our collaborator Novartis AG, or Novartis, and has received marketing authorization from the EC for the treatment of adults with hypercholesterolemia or mixed dyslipidemia and from the FDA as an adjunct to diet and exercise to reduce low-density lipoprotein cholesterol, or LDL-C, in adults with hypercholesterolemia, adults and pediatric patients aged 12 years and older with heterozygous familial hypercholesterolemia, or HeFH, and pediatric patients aged 12 years and older with homozygous familial hypercholesterolemia. Leqvio has also been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in China and Japan, and as of the end of March 2026, Leqvio is registered in more than 108 countries worldwide and is commercially available in 89 countries.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Qfitlia (fitusiran) is being commercialized by our collaborator, Genzyme Corporation, a Sanofi Company, or Sanofi, and was approved by the FDA in March 2025 for routine prophylaxis to prevent or reduce the frequency of bleeding episodes in adult and pediatric patients 12 years of age and older with hemophilia A or B, with or without factor VIII or IX inhibitors (neutralizing antibodies), and by China’s National Medical Products Administration, or NMPA, in December 2025, for routine prophylaxis to prevent or reduce the frequency of bleeding episodes in pediatric patients 12 years of age and older and adults with severe hemophilia A or B with or without factor IX inhibitors. Qfitlia is the first and only therapeutic designed to lower antithrombin, a protein that inhibits blood clotting, with the goal of promoting thrombin generation to rebalance hemostasis and prevent bleeds. A regulatory submission for Qfitlia has also been completed in Brazil.</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to our marketed products, we have multiple potential drivers of future growth, including additional transformative medicines currently in development for TTR and both other rare and prevalent diseases. We are advancing nucresiran, our next-generation investigational RNAi therapeutic in development for the treatment of ATTR amyloidosis. In November 2024, we announced positive results from the ongoing Phase 1 clinical trial of nucresiran in healthy volunteers. These results demonstrated that twice annual dosing of 300 mg of nucresiran resulted in mean reductions of serum TTR of greater than 90% from baseline at day 15 that were maintained over six months. In September 2025, we initiated the TRITON-PN Phase 3 clinical trial of nucresiran in patients with hATTR polyneuropathy, and in June 2025, we initiated the TRITON-CM Phase 3 clinical trial of nucresiran in patients with ATTR amyloidosis with cardiomyopathy.</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also developing zilebesiran, an investigational, subcutaneously administered RNAi therapeutic targeting angiotensinogen, for the treatment of hypertension. In 2023, we entered into a Collaboration and License Agreement, or the Roche Collaboration and License Agreement, with F. Hoffmann-La Roche Ltd. and Genentech, Inc. or, collectively, Roche, pursuant to which we established a worldwide, strategic collaboration for the joint development and commercialization of zilebesiran. In August 2025, we reported that our KARDIA-3 Phase 2 clinical trial, which was designed to evaluate the efficacy and safety of zilebesiran as an add-on therapy in adult patients with high cardiovascular risk and uncontrolled hypertension despite treatment with two to four standard of care antihypertensive medications, met the objective of informing the design, patient population, and dose for a global Phase 3 cardiovascular outcomes trial. In September 2025, we initiated a Phase 3 cardiovascular outcomes clinical trial, ZENITH (ZilebEsiraN CardIovascular OuTcome Study in Hypertension), which is designed to evaluate the potential of zilebesiran to reduce the risk of major adverse cardiovascular events in patients with uncontrolled hypertension on two or more antihypertensives, one being a diuretic.</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also advancing mivelsiran (formerly ALN-APP), an investigational RNAi therapeutic targeting amyloid precursor protein in development for the treatment of cerebral amyloid angiopathy, or CAA, and Alzheimer’s disease, or AD. In July 2025, we presented single- and multiple-dose data from the Phase 1 clinical trial of mivelsiran in patients with early-onset AD. These data demonstrated that single and multiple doses of mivelsiran were generally well tolerated and demonstrated robust, durable, dose-dependent reductions of soluble amyloid precursor protein beta, or sAPPβ, in cerebrospinal fluid. In July 2024, we initiated the cAPPricorn-1 Phase 2 clinical trial of mivelsiran in patients with CAA. We expect to initiate a Phase 2 clinical trial of mivelsiran in patients with AD in the first half of 2026.</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additional late-stage investigational programs advancing toward potential commercialization with collaborators, including cemdisiran for the treatment of complement-mediated diseases. Our collaborator, Regeneron Pharmaceuticals, Inc., or Regeneron, is advancing cemdisiran in combination with its anti-C5 monoclonal antibody, pozelimab, in a Phase 3 clinical trial in paroxysmal nocturnal hemoglobinuria, and as a monotherapy and in combination with pozelimab in Phase 3 clinical trials in myasthenia gravis and geographic atrophy. In August 2025, Regeneron announced that cemdisiran monotherapy met the primary and key secondary endpoints in the Phase 3 NIMBLE clinical trial in generalized myasthenia gravis and in April 2026, Regeneron announced the submission of a New Drug Application, or NDA, to the FDA for cemdisiran, an investigational RNAi therapeutic for adults with generalized myasthenia gravis. Additional global filings are planned for 2026.</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achieved profitability for the first time in 2025. Nevertheless, we have incurred significant losses since inception, and as of March 31, 2026, we had an accumulated deficit of $6.50 billion. Historically, we generated losses primarily from costs associated with research and development activities; acquiring, filing and protecting our intellectual property rights; and selling, general and administrative activities. With the achievement of profitability in 2025, going forward we expect to be able to fund our operations primarily from product revenues, which we expect will be supplemented by collaboration revenue and royalty revenue from products commercialized by our collaborators.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expect to continue investing significantly in research and development to advance our RNAi platform and clinical pipeline. These planned expenditures include costs associated with our activities as we (i) progress our late-stage programs, including the Phase 3 TRITON-PN and TRITON-CM clinical trials of nucresiran (our next generation TTR silencer) in patients with hATTR-PN and ATTR-CM, respectively, and the Phase 3 ZENITH cardiovascular outcomes trial of zilebesiran in patients with uncontrolled hypertension, all three of which we initiated in 2025; (ii) progress our early stage clinical pipeline, including CNS and metabolic programs; (iii) continue our efforts to deliver RNAi therapeutics to additional tissues and to treat new disease areas; and (iv) selectively pursue complementary modalities through business development.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Through these investments, we plan to expand our efforts to discover, develop and commercialize the next wave of RNAi therapeutics and aim to achieve the goals associated with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 These goals include expanding to 10 tissue types and more than 40 clinical programs, delivering at least two new transformative medicines beyond TTR with blockbuster potential, investing approximately 30% of our revenues in non-GAAP R&amp;D (including select external innovation), achieving 25%+ total revenue compound annual growth rate, and delivering approximately 30% non-GAAP operating margin through year-end 2030.</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March 31, 2026, we generate worldwide product revenues from our four commercialized products, AMVUTTRA, ONPATTRO, GIVLAARI and OXLUMO, primarily in the U.S. and Europe. Collaboration and royalty revenues, in particular from our collaborations with Roche, Regeneron and Novartis, have also represented a meaningful portion of our total revenues in recent years. We expect our sources of potential funding for the next several years to be derived primarily from sales of our commercialized products, with contributions from our existing collaborations, including royalties on sales of Leqvio by Novartis and on sales of Qfitlia by Sanofi, and any new strategic collaborations that we may enter in the future. However, we and our collaborators may not be able to successfully market and sell our existing commercialized products or any approved products in the future. Moreover, our ongoing development and regulatory efforts may not be successful, and we and our collaborators may not be able to commence sales of any other products in the future. We anticipate that our operating results will continue to fluctuate for the foreseeable future, and therefore, period-to-period comparisons should not be relied upon as predictive of the results in future periods.</w:t>
      </w:r>
    </w:p>
    <w:p>
      <w:pPr>
        <w:spacing w:after="0" w:line="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Given the significant and growing contribution of AMVUTTRA to our total product revenues following regulatory approvals of AMVUTTRA for the treatment of ATTR-CM, our cost of goods sold, operating income and operating margin have been significantly impacted by the royalties we pay to Sanofi on global sales of AMVUTTRA, and we expect this will continue in future years. Under our license agreement with Sanofi, Sanofi is eligible to receive tiered royalties on global annual net sales of AMVUTTRA across all indications in the following tiers: 15% of global annual net sales of $0 to $150.0 million; 17.5% of global annual net sales greater than $150.0 million to $300.0 million; 20% of global annual net sales greater than $300.0 million to $500.0 million; 25% of global annual net sales greater than $500.0 million to $1.50 billion; and 30% of global annual net sales in excess of $1.50 billion. There are no royalties owed on nucresiran, our next-generation investigational RNAi therapeutic, which is currently in development for the treatment of ATTR amyloidosis. Assuming successful development and regulatory approval, we believe that with its anticipated product profile, nucresiran has the potential to become a leading therapy for ATTR amyloidosis and to significantly improve our gross margins on product sales and operating income margin.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Repurchases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September 2025, we issued $661.3 million aggregate principal amount of 0.00% Convertible Senior Notes due 2028, or the 2028 Notes. The 2028 Notes will mature on September 15, 2028, unless earlier converted, redeemed or repurchased. The 2028 Notes will not bear regular interest. Before June 15, 2028, holders of 2028 Notes will have the right to convert their 2028 Notes in certain circumstances and during specified periods. From and after June 15, 2028, the 2028 Notes will be convertible at the option of the holders of 2028 Notes at any time prior to the close of business on the trading day immediately preceding the maturity date. We will settle any conversions of 2028 Notes by paying or delivering, as applicable, cash or shares of our common stock, par value $0.01 per share, or Common Stock, or a combination of cash and shares of Common Stock, at our election.</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issuance of the 2028 Notes, we paid $35.3 million, including expenses to enter into privately negotiated capped call transactions with certain initial purchasers of the 2028 Notes or their respective affiliates and certain other financial institutions, or capped call transactions. The capped call transactions are expected generally to reduce the potential dilution upon conversion of the 2028 Notes in the event that the market price per share of our Common Stock, as measured under the terms of the capped call transactions, is greater than the strike price of the capped call transactions, which initially corresponds to the conversion price of the 2028 Notes, and is subject to anti-dilution adjustments generally similar to those applicable to the conversion rate of the 2028 Notes. The initial cap price of the capped call transaction is approximately $837.61 per share, and is subject to certain adjustments under the terms of the capped call transactions.</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Concurrently with the pricing of the 2028 Notes, we entered into privately negotiated transactions, or the September 2025 note repurchase transactions, with certain holders of our 1.00% Convertible Senior Notes due 2027, or the 2027 Notes, to repurchase for cash approximately $637.8 million aggregate principal amount of the 2027 Notes for a total repurchase cost (including accrued and unpaid interest) of approximately $1.11 billion. In addition, in December 2025, we entered into additional privately negotiated transactions, or the December 2025 note repurchase transactions, with certain holders of our 2027 Notes to repurchase for cash approximately $34.4 million aggregate principal amount of the 2027 Notes for a total repurchase cost (including accrued and unpaid interest) of approximately $52.3 million. Following the closing of the December 2025 note repurchase transactions, or, together with the September 2025 note repurchase transactions, the note repurchase transactions, approximately $362.8 million aggregate principal amount of the 2027 Notes remain outstanding. We had previously entered into capped call transactions with certain financial institutions in connection with the issuance of the 2027 Notes, which transactions remain in place following the note repurchase transactions.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2025, we entered into a revolving credit agreement, or the Revolving Credit Agreement, among the lenders party thereto, Bank of America, N.A., as Administrative Agent, or the Agent, and the other parties named therein. The Revolving Credit Agreement provides for a $500.0 million revolving line of credit, or the Revolving Credit Facility, including a $150.0 million letter of credit sublimit. The Revolving Credit Agreement provides that we have the right at any time and from time to time to incur one or more incremental revolving commitments and/or incremental term loans, subject to certain customary conditions and other requirements.</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At our option, and subject to certain conditions, borrowings bear interest at a base rate, a term Secured Overnight Financing Rate, or SOFR, rate or an alternative currency term rate, plus, in each case, an applicable margin based upon our Total Leverage Ratio (as defined in the Revolving Credit Agreement). For borrowings that bear interest at a term SOFR rate, the applicable margin is a per annum amount equal to an amount between 1.50% and 2.50% (depending on our Total Leverage Ratio). Interest is payable quarterly in arrears with respect to borrowings bearing interest at the alternate base rate or on the last day of an interest period, but at least every three months, with respect to borrowings bearing interest at a term SOFR rate or an alternative currency term rate. We are also required to pay on a quarterly basis a commitment fee in a per annum amount equal to an amount between 0.20% to 0.35% (depending on our Total Leverage Ratio) of unused available commitments under the Revolving Credit Facility. We are also obligated to pay the Agent fees customary for revolving credit facilities of this size and type.</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obligations under the Revolving Credit Agreement are required to be guaranteed by certain of our material domestic subsidiaries and are secured by substantially all of our assets and the assets of such subsidiary guarantors, subject to customary exceptions. The Revolving Credit Agreement contains customary affirmative and negative covenants and conditions to borrowing, as well as customary events of default.</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Revolving loans under the Revolving Credit Agreement may be borrowed, repaid and reborrowed, without premium or penalty (subject to customary breakage costs), until their maturity date under the Revolving Credit Agreement, or the Maturity Date, at which time all amounts borrowed must be repaid. The Maturity Date is currently September 30, 2030, but may be adjusted to an earlier date upon the occurrence of certain events in accordance with the terms of the Revolving Credit Agreement.</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focused primarily on drug discovery and development programs. Research and development expenses represent a substantial percentage of our total operating expenses, as reflected by our broad pipeline of clinical development programs, which includes multiple programs in late-stage development.</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Product Pipeline</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broad pipeline includes six approved products and multiple late and early-stage investigational RNAi therapeutics across a broad range of disease areas and indications. We describe our commercial and clinical-stage pipeline in more detail below. The clinical-stage therapeutics described below are in various stages of clinical development and the scientific information included about these therapeutics is preliminary and investigative. These clinical-stage therapeutics have not been approved by the FDA, European Medicines Agency, or EMA, or any other health authority and no conclusions can or should be drawn regarding the safety or efficacy of these investigational therapeutics.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represents our commercial products and late- and early-stage development programs as of April 30,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462915</wp:posOffset>
            </wp:positionV>
            <wp:extent cx="5657850" cy="6789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and recent period, we reported the following updates from our commercially approved products and our late-stage clinical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TTR: AMVUTTRA &amp; ONPATTRO</w:t>
      </w:r>
    </w:p>
    <w:p>
      <w:pPr>
        <w:spacing w:after="0" w:line="108" w:lineRule="exact"/>
        <w:rPr>
          <w:sz w:val="20"/>
          <w:szCs w:val="20"/>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global net product revenues for AMVUTTRA and ONPATTRO for the first quarter of 2026 of $889.9 million and $20.5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Rare: GIVLAARI &amp; OXLUMO</w:t>
      </w:r>
    </w:p>
    <w:p>
      <w:pPr>
        <w:spacing w:after="0" w:line="108"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global net product revenues for GIVLAARI and OXLUMO for the first quarter of 2026 of $74.4 million and $51.3 million,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Late-Stage Clinical Development</w:t>
      </w:r>
    </w:p>
    <w:p>
      <w:pPr>
        <w:spacing w:after="0" w:line="135" w:lineRule="exact"/>
        <w:rPr>
          <w:sz w:val="20"/>
          <w:szCs w:val="20"/>
          <w:color w:val="auto"/>
        </w:rPr>
      </w:pPr>
    </w:p>
    <w:p>
      <w:pPr>
        <w:ind w:left="660" w:hanging="328"/>
        <w:spacing w:after="0" w:line="24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Our partner, Regeneron, announced the submission of an NDA to the FDA for cemdisiran, an investigational RNAi therapeutic for adults with generalized myasthenia gravis. Additional global filings are planned for 2026.</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Announced update to the TRITON-CM Phase 3 study of nucresiran, an investigational next-generation TTR silencer, in patients with ATTR-CM:</w:t>
      </w:r>
    </w:p>
    <w:p>
      <w:pPr>
        <w:spacing w:after="0" w:line="89" w:lineRule="exact"/>
        <w:rPr>
          <w:rFonts w:ascii="Arial" w:cs="Arial" w:eastAsia="Arial" w:hAnsi="Arial"/>
          <w:sz w:val="22"/>
          <w:szCs w:val="22"/>
          <w:color w:val="auto"/>
        </w:rPr>
      </w:pPr>
    </w:p>
    <w:p>
      <w:pPr>
        <w:ind w:left="1300" w:right="340" w:hanging="320"/>
        <w:spacing w:after="0" w:line="258"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enrollment in the study proceeding faster than anticipated, the Company has decided to utilize a pre-specified protocol option to expand enrollment from 1,250 to approximately 1,750 patients, and still expects to launch nucresiran, assuming positive data and regulatory approval, in ATTR-CM by 2030</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is a risk that any drug discovery or development program may not produce revenue for a variety of reasons, including the possibility that we will not be able to adequately demonstrate the safety and effectiveness of the product candidate or obtain approval or the desired labeling for the product candidate from regulatory authorities. The success of AMVUTTRA, ONPATTRO, GIVLAARI, OXLUMO or any other product candidate we develop is highly uncertain. Due to the numerous risks associated with developing drugs, we cannot reasonably estimate or know the nature, timing and estimated costs of the efforts necessary to complete the development of any potential product candidate or indication, or the period, if any, in which material net cash inflows will commence from any approved product or indication. Any failure to complete any stage of the development of any potential products in a timely manner or successfully launch, market and sell any of our commercially approved products, could have a material adverse effect on our operations, financial position and liquidity. A discussion of some of the risks and uncertainties associated with completing our research and development programs within the planned timeline, or at all, and the potential consequences of failing to do so, are set forth in Part II, Item 1A below under the heading “Risk Factors.”</w:t>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Strategic Collaborations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business strategy is to develop and commercialize a broad pipeline of RNAi therapeutic products directed across a broad range of disease areas and indications. As part of this strategy, we have entered into, and expect to enter into additional, collaboration and licensing agreements as a means of accessing resources and capabilities to advance our investigational RNAi therapeutic programs. Our collaboration strategy is to form collaborations that create significant value for ourselves and our collaborators in the advancement of RNAi therapeutics. We expect these collaborations to provide us with research and development support, sales and marketing support and/or financial support.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our key collaborations.</w:t>
      </w:r>
    </w:p>
    <w:p>
      <w:pPr>
        <w:spacing w:after="0" w:line="1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Roche</w:t>
      </w:r>
      <w:r>
        <w:rPr>
          <w:rFonts w:ascii="Times New Roman" w:cs="Times New Roman" w:eastAsia="Times New Roman" w:hAnsi="Times New Roman"/>
          <w:sz w:val="18"/>
          <w:szCs w:val="18"/>
          <w:color w:val="auto"/>
        </w:rPr>
        <w:t>. In July 2023, we entered into the Roche Collaboration and License Agreement, pursuant to which we and Roche established a worldwide,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for the joint development of pharmaceutical products containing zilebesiran. Under the Roche Collaboration and License Agreement, we granted to Roche (i) co-exclusive rights to develop zilebesiran worldwide and commercialize zilebesiran in the U.S., (ii) exclusive rights to commercialize zilebesiran outside of the U.S., and (iii) non-exclusive rights to manufacture zilebesiran for the development and commercialization of zilebesiran outside of the U.S. Roche made an upfront payment of $310.0 million and in April 2024 we achieved the development milestone associated with the dosing of the first patient in the KARDIA-3 Phase 2 clinical trial and received a $65.0 million development milestone payment from Roche. In September 2025, we achieved the development milestone associated with dosing the first patient in the ZENITH Phase 3 clinical trial and received a $300.0 million development milestone payment from Roche. In addition, we are eligible to receive up to an additional $2.15 billion in contingent payments based on the achievement of specified development, regulatory and sales-based milestones. We are responsible for forty percent (40%), and Roche is responsible for sixty percent (60%), of development costs incurred in the conduct of development activities that support regulatory approval of zilebesiran globally. We and Roche share equally (50/50) all costs incurred in connection with development activities that are conducted primarily to support regulatory approval of zilebesiran in the U.S. if incremental development activities are needed. Roche will be solely responsible for costs incurred in connection with commercialization of zilebesiran outside of the U.S. and will pay us tiered, low double digit royalties based on net sales of zilebesiran on a country-by-country basis outside of the U.S. during the royalty term. We and Roche will share equally (50/50) profits and losses (including commercialization costs) of zilebesiran in the U.S.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Regeneron. </w:t>
      </w:r>
      <w:r>
        <w:rPr>
          <w:rFonts w:ascii="Times New Roman" w:cs="Times New Roman" w:eastAsia="Times New Roman" w:hAnsi="Times New Roman"/>
          <w:sz w:val="18"/>
          <w:szCs w:val="18"/>
          <w:color w:val="auto"/>
        </w:rPr>
        <w:t>In April 2019, we entered into a global, strategic collaboration with Regeneron to discover, develop and commercialize RNAi therapeutics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broad range of diseases by addressing therapeutic targets expressed in the eye and CNS, in addition to a select number of targets expressed in the liver, which we refer to as the Regeneron Collaboration. The Regeneron Collaboration is governed by a Master Agreement, referred to as the Regeneron Master Agreement, which became effective in May 2019.</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Regeneron Collaboration, we are working exclusively with Regeneron to discover RNAi therapeutics for eye and CNS diseases and a select number of target genes expressed in the liver for an initial research period, which we refer to as the Initial Research Term. The Initial Research Term will expire in May 2026.</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Regeneron leads development and commercialization for all programs targeting eye diseases (subject to limited exceptions), entitling us to certain potential milestone and royalty payments pursuant to the terms of a license agreement, the form of which has been agreed upon by the parties. We and Regeneron are alternating leadership on CNS and liver programs, with the lead party retaining global development and commercial responsibility.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August 2019, in connection with the Regeneron Master Agreement, we and Regeneron entered into (i) a co-co collaboration agreement covering the development of cemdisiran, our C5 siRNA, as a monotherapy for C5 complement-mediated diseases, or the C5 Co-Co Collaboration Agreement, and (ii) a license agreement to evaluate anti-C5 antibody-siRNA combinations for C5 complement-mediated diseases including evaluating the combination of Regeneron’s pozelimab and cemdisiran, or the C5 License Agreement.</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June 2024, we entered into an amended and restated C5 License Agreement, or the Amended C5 License Agreement, which terminated the C5 Co-Co Collaboration Agreement and granted Regeneron a worldwide license to cemdisiran as a monotherapy in addition to the license to cemdisiran in combination with anti-C5 antibodies. Through the Amended C5 License Agreement, Regeneron is now solely responsible for development, manufacturing, and commercialization of cemdisiran as a monotherapy and in combination with anti-C5 antibodies. Regeneron provided us with an upfront payment of $10.0 million and we will receive certain milestone payments upon receipt of regulatory approval for cemdisiran as a monotherapy, and tiered, double-digit royalties on net sales. The Amended C5 License Agreement did not change our rights to receive low double-digit royalties and commercial milestones of up to $325.0 million on any potential product sales if cemdisiran is used as part of a combination product.</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May 2024, Regeneron notified us of its decision to opt-out of the further co-development of mivelsiran, an investigational RNAi therapeutic in development for the treatment of hereditary CAA and autosomal dominant Alzheimer’s Disease under our co-co collaboration agreement with respect to mivelsiran. As a result of Regeneron’s opt-out, we now have full global development and commercialization rights to mivelsiran in all indications, and we are responsible for all development and commercialization costs of mivelsiran other than Regeneron’s share of the then-current Phase 1 budget. Regeneron will no longer share potential future profits from sales of mivelsiran with us, although we remain subject to certain financial obligations to Regeneron under the mivelsiran co-co collaboration agreement. We continue to advance multiple other programs with Regeneron.</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Sanofi. </w:t>
      </w:r>
      <w:r>
        <w:rPr>
          <w:rFonts w:ascii="Times New Roman" w:cs="Times New Roman" w:eastAsia="Times New Roman" w:hAnsi="Times New Roman"/>
          <w:sz w:val="18"/>
          <w:szCs w:val="18"/>
          <w:color w:val="auto"/>
        </w:rPr>
        <w:t>We formed a broad strategic alliance with Sanofi in 2014. In January 2018, we and Sanofi amended our 2014 collaboration and entered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License Agreement, referred to as the Exclusive TTR License, under which we were granted exclusive rights to pursue the further global development and commercialization of TTR products, including ONPATTRO, AMVUTTRA and certain back-up products, and the ALN-AT3 Global License Terms, referred to as the AT3 License Terms, under which Sanofi has the exclusive right to pursue the further global development and commercialization of Qfitlia and certain back-up products. Under the Exclusive TTR License, Sanofi is eligible to receive (i) royalties up to 25% increasing over time, based on annual net sales of ONPATTRO in territories excluding the U.S., Canada and Western Europe, provided royalties on annual net sales of ONPATTRO in Japan were set at 25% beginning at the effective date of the Exclusive TTR License and (ii) tiered royalties on global annual net sales of AMVUTTRA across all indications in the following tiers: 15% of global annual net sales of $0 to $150.0 million; 17.5% of global annual net sales greater than $150.0 million to $300.0 million; 20% of global annual net sales greater than $300.0 million to $500.0 million; 25% of global annual net sales greater than $500.0 million to $1.50 billion; and 30% of global annual net sales in excess of $1.50 billion. In April 2019, we and Sanofi amended and restated the AT3 License Terms to modify certain of the business terms. The material collaboration terms for Qfitlia were unchanged. Under the amended and restated AT3 License Terms, we are eligible to receive tiered royalties on global annual net sales of Qfitlia by Sanofi, its affiliates and its sublicensees. The royalty tiers and amounts that we are eligible to receive on global annual net sales of Qfitlia are the same as the royalty tiers and amounts that we owe to Sanofi on global annual net sales of AMVUTTRA.</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Novartis. </w:t>
      </w:r>
      <w:r>
        <w:rPr>
          <w:rFonts w:ascii="Times New Roman" w:cs="Times New Roman" w:eastAsia="Times New Roman" w:hAnsi="Times New Roman"/>
          <w:sz w:val="18"/>
          <w:szCs w:val="18"/>
          <w:color w:val="auto"/>
        </w:rPr>
        <w:t>In February 2013, we entered into an exclusive, worldwide license with MDCO (acquired by Novartis AG in January 2020)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MDCO was granted the right to develop, manufacture and commercialize RNAi therapeutics targeting proprotein convertase subtilisin/kexin type 9 for the treatment of hypercholesterolemia and other human diseases, including Leqvio.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described in the “Management’s Discussion and Analysis of Financial Condition and Results of Operations” section of our Annual Report on Form 10-K for the year ended December 31, 2025, which we filed with the SEC on February 12, 2026. There have been no significant changes to our critical accounting policies since the beginning of this fiscal year.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data summarizes the results of our operations:</w:t>
      </w:r>
    </w:p>
    <w:p>
      <w:pPr>
        <w:spacing w:after="0" w:line="151" w:lineRule="exact"/>
        <w:rPr>
          <w:sz w:val="20"/>
          <w:szCs w:val="20"/>
          <w:color w:val="auto"/>
        </w:rPr>
      </w:pPr>
    </w:p>
    <w:tbl>
      <w:tblPr>
        <w:tblLayout w:type="fixed"/>
        <w:tblInd w:w="178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gridSpan w:val="8"/>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572,986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322,427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-2540</wp:posOffset>
            </wp:positionV>
            <wp:extent cx="486918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69180" cy="128905"/>
                    </a:xfrm>
                    <a:prstGeom prst="rect">
                      <a:avLst/>
                    </a:prstGeom>
                    <a:noFill/>
                  </pic:spPr>
                </pic:pic>
              </a:graphicData>
            </a:graphic>
          </wp:anchor>
        </w:drawing>
      </w:r>
    </w:p>
    <w:p>
      <w:pPr>
        <w:ind w:left="1800" w:right="5160" w:firstLine="8"/>
        <w:spacing w:after="0" w:line="321" w:lineRule="auto"/>
        <w:tabs>
          <w:tab w:leader="none" w:pos="19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the percentage change period over period is greater than 500% ** Not meaningful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Results of Operations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567,589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 from collaborations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572,986</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revenues, classified based on the geographic region in which the product is sold and by franchise (“TTR,” which includes AMVUTTRA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ONPATTRO, and “Rare,” which includes GIVLAARI and OXLUMO), consisted of the following:</w:t>
      </w:r>
    </w:p>
    <w:p>
      <w:pPr>
        <w:spacing w:after="0" w:line="119"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AMVUTTRA</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702,554</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504,590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579,939</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ONPATTRO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TTR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359,481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550,931</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GIVLAARI</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OXLUMO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Rare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567,589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product revenues increased during the three months ended March 31, 2026, as compared to the same period in 2025, primarily due to growth from AMVUTTRA revenues driven by increased patient demand, mainly in patients with ATTR-CM in the U.S., which was partially offset by a decreased number of patients on ONPATTRO, and due to growth from an increased number of patients on GIVLAARI and OXLUMO.</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Revenues from Collaborations and Royalty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from collaborations and royalty revenue consisted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 Pharmaceuticals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revenues from collaborations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from collaborations decreased during the three months ended March 31, 2026, as compared to the same period in 2025, primarily driven by recognition of a $30.0 million payment in connection with the amendment to our agreement with Vir Biotechnology, Inc. in March 2025.</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Royalty revenue increased during the three months ended March 31, 2026, as compared to the same period in 2025, primarily due to increased volume and rate of royalties earned from global net sales of Leqvio by Novartis.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Recognition of our combined net revenues from collaborations and royalty revenue is dependent on a variety of factors, including the level of work reimbursed by collaborators, achievement of milestones under our collaboration agreements, and royalties associated with sales of Leqvio.</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 and expenses consisted of the following:</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207,520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70,183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 as a percentage of net product revenues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collaborations and royalties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265,122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322,551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239,949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898,539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576,112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as a percentage of net product revenues increased to 20.0% during the three months ended March 31, 2026, as compared to 15.0% during the same period in 2025, primarily as a result of increased sales of AMVUTTRA and an associated increase in the blended royalty rate payable on net sales of AMVUTTRA.</w:t>
      </w:r>
    </w:p>
    <w:p>
      <w:pPr>
        <w:spacing w:after="0" w:line="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our cost of goods sold, including cost of goods sold as a percentage of net product revenues, will increase during 2026, as compared to 2025, primarily as a result of an expected increase in sales of AMVUTTRA and an associated increase in the royalty rate payable on net sales of AMVUTTRA.</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Collaborations and Royalties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collaborations and royalties increased during the three months ended March 31, 2026, as compared to the same period in 2025, primarily due to the timing of demand for GalNAc material supplied to our collaborators in support of certain product manufacturing.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expect the cost of collaborations and royalties to be significant in 2026, primarily as a result of our collaborators having transitioned to producing GalNAc material independently.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w:t>
      </w:r>
    </w:p>
    <w:p>
      <w:pPr>
        <w:spacing w:after="0" w:line="151" w:lineRule="exact"/>
        <w:rPr>
          <w:sz w:val="20"/>
          <w:szCs w:val="20"/>
          <w:color w:val="auto"/>
        </w:rPr>
      </w:pPr>
    </w:p>
    <w:tbl>
      <w:tblPr>
        <w:tblLayout w:type="fixed"/>
        <w:tblInd w:w="184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71,796</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Occupancy and all other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99,744</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Occupancy and all other costs includes facilities, information technology, depreciation and certain departmental expenses.</w:t>
      </w:r>
    </w:p>
    <w:p>
      <w:pPr>
        <w:spacing w:after="0" w:line="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as compared to the same period in 2025, primarily due to the following:</w:t>
      </w:r>
    </w:p>
    <w:p>
      <w:pPr>
        <w:spacing w:after="0" w:line="68" w:lineRule="exact"/>
        <w:rPr>
          <w:sz w:val="20"/>
          <w:szCs w:val="20"/>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 expenses for the ZENITH Phase 3 clinical trial of zilebesiran, the TRITON-CM Phase 3 clinical trial of nucresiran in patients with ATTR-CM and the TRITON-PN Phase 3 clinical trial of nucresiran in patients with hATTR-PN;</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employee compensation and related expenses due to growing headcount to support our research and development pipeline and development expenses;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stock-based compensation expense.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expenses within other clinical programs, in particular for the KARDIA-1, KARDIA-2 and KARDIA-3 Phase 2 clinical trials of zilebesiran due to the wind-down of clinical activities.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consisted of the following:</w:t>
      </w:r>
    </w:p>
    <w:p>
      <w:pPr>
        <w:spacing w:after="0" w:line="138" w:lineRule="exact"/>
        <w:rPr>
          <w:sz w:val="20"/>
          <w:szCs w:val="20"/>
          <w:color w:val="auto"/>
        </w:rPr>
      </w:pPr>
    </w:p>
    <w:tbl>
      <w:tblPr>
        <w:tblLayout w:type="fixed"/>
        <w:tblInd w:w="160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40,607</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Occupancy and all other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Occupancy and all other costs includes facilities, information technology, depreciation and certain departmental expenses.</w:t>
      </w:r>
    </w:p>
    <w:p>
      <w:pPr>
        <w:spacing w:after="0" w:line="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increased as compared to the same period in 2025, primarily due to the following:</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employee compensation costs, including stock-based compensation;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marketing investment associated with the ongoing global commercial launch of AMVUTTRA in ATTR-CM.</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that research and development expenses combined with selling, general and administrative expenses will increase during 2026, as compared to 2025, as we continue to launch our current commercial products into new markets, prepare for future commercial product launches, including the continued global commercial launch of AMVUTTRA for the treatment of ATTR-CM, advance our product candidates, including collaborated programs, into later-stage development, advance and develop our platform and preclinical pipeline, and prepare regulatory submissions. However, we expect that certain expenses will be variable depending on the timing of manufacturing batches, clinical trial enrollment and results, regulatory review of our product candidates and programs, and stock-based compensation expenses based on our determination regarding the probability of vesting or assessed level of achievement for performance-based awards.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consisted of the following:</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other expense, net increased during the three months ended March 31, 2026, as compared to the same period in 2025, primarily due to increased interest expense associated with the liabilities related to the sale of future royalties and development funding, as well as increased net realized and unrealized foreign currency transaction losses.</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was as follows:</w:t>
      </w:r>
    </w:p>
    <w:p>
      <w:pPr>
        <w:spacing w:after="0" w:line="138" w:lineRule="exact"/>
        <w:rPr>
          <w:sz w:val="20"/>
          <w:szCs w:val="20"/>
          <w:color w:val="auto"/>
        </w:rPr>
      </w:pPr>
    </w:p>
    <w:tbl>
      <w:tblPr>
        <w:tblLayout w:type="fixed"/>
        <w:tblInd w:w="208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2026 primarily related to U.S. state income taxes, utilization of Switzerland net deferred tax assets, as well as taxable income from jurisdictions in which we are subject to tax. For the three months ended March 31, 2026, we maintained a full valuation allowance against our net deferred tax assets in the U.S. Based on our recent financial performance and our future projections, we could record a reversal of all or a portion of the U.S. valuation allowance within the next 12 months. However, any such change is subject to actual performance and other considerations that may present positive or negative evidence at the time of the assessment.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30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70,504</w:t>
            </w:r>
          </w:p>
        </w:tc>
        <w:tc>
          <w:tcPr>
            <w:tcW w:w="100" w:type="dxa"/>
            <w:vAlign w:val="bottom"/>
          </w:tcPr>
          <w:p>
            <w:pPr>
              <w:spacing w:after="0"/>
              <w:rPr>
                <w:sz w:val="19"/>
                <w:szCs w:val="19"/>
                <w:color w:val="auto"/>
              </w:rPr>
            </w:pPr>
          </w:p>
        </w:tc>
        <w:tc>
          <w:tcPr>
            <w:tcW w:w="110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(25,542)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113,769</w:t>
            </w:r>
          </w:p>
        </w:tc>
        <w:tc>
          <w:tcPr>
            <w:tcW w:w="0" w:type="dxa"/>
            <w:vAlign w:val="bottom"/>
          </w:tcPr>
          <w:p>
            <w:pPr>
              <w:spacing w:after="0"/>
              <w:rPr>
                <w:sz w:val="1"/>
                <w:szCs w:val="1"/>
                <w:color w:val="auto"/>
              </w:rPr>
            </w:pPr>
          </w:p>
        </w:tc>
      </w:tr>
      <w:tr>
        <w:trPr>
          <w:trHeight w:val="234"/>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tcPr>
          <w:p>
            <w:pPr>
              <w:spacing w:after="0"/>
              <w:rPr>
                <w:sz w:val="20"/>
                <w:szCs w:val="20"/>
                <w:color w:val="auto"/>
              </w:rPr>
            </w:pPr>
          </w:p>
        </w:tc>
        <w:tc>
          <w:tcPr>
            <w:tcW w:w="110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activities increased during the three months ended March 31, 2026, compared to the same period in 2025, primarily due to stronger cash receipts from increased product sales, partially offset by increased employee compensation.</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$25.5 million, whereas during the three months ended March 31, 2025, net cash provided by investing activities was $113.8 million. This was primarily due to the timing of sales, maturities, and purchases of our marketable securities.</w:t>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during the three months ended March 31, 2026, compared to the same period in 2025, primarily due to lower net proceeds from the issuance of common stock in connection with stock option exercises.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have programs focused in many therapeutic areas and, as of March 31, 2026, have six marketed products, including two products commercialized by collaborators. However, our ongoing development efforts may not be successful and we may not be able to commence sales of any other products in the future. In addition, we may incur additional operating losses as a result of planned expenditures for research and development activities relating to our research platform, our drug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development programs, including clinical trial and manufacturing costs, the continued build-out of late-stage clinical, manufacturing, commercial and compliance capabilities, including global operations, continued management and growth of our intellectual property, including our patent portfolio, collaborations and general corporate activities.</w:t>
      </w:r>
    </w:p>
    <w:p>
      <w:pPr>
        <w:spacing w:after="0" w:line="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2025, we entered into the Revolving Credit Agreement, which provides for a $500.0 million revolving line of credit, including a $150.0 million sublimit for issuance of letters of credit. The Revolving Credit Agreement matures in September 2030, subject to earlier springing maturity under certain circumstances. The Revolving Credit Agreement contains customary affirmative and negative covenants and conditions to borrowing, as well as customary events of default. In addition, the Revolving Credit Agreement contains financial covenants that require us to maintain a total leverage ratio less than or equal to 3.75:1.00 and an interest coverage ratio greater than or equal to 3.00:1.00, each tested at the end of each fiscal quarter. As of March 31, 2026, we had no borrowings and $17.5 million of letters of credit outstanding under the Revolving Credit Agreement. Please refer to Note 8, Convertible Debt and Other Financing, in the “Notes to Condensed Consolidated Financial Statements” in this Quarterly Report on Form 10-Q for further information.</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expected working and other capital requirements are described in our Annual Report on Form 10-K for the fiscal year ended December 31, 2025 in “Part II, Item 7. Management’s Discussion and Analysis of Financial Condition and Results of Operations.” As of March 31, 2026, other than the changes disclosed in the “Notes to Condensed Consolidated Financial Statements” and “Liquidity and Capital Resources” section in this Quarterly Report on Form 10-Q, there have been no other material changes to our expected working and other capital requirements as described in our Annual Report on Form 10-K for the fiscal year ended December 31, 2025.</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cash equivalents, marketable securities, as well as the revenue we expect to generate from product sales and under our existing collaborations, including royalties on sales of Leqvio and Qfitlia, and available borrowing capacity under the revolving credit agreement as of March 31, 2026, will be sufficient to satisfy our near-term capital and operating needs for at least 12 months from the filing date of this Quarterly Report on Form 10-Q. However, due to numerous factors described in more detail under the caption Part II, Item 1A, “Risk Factors” of this Quarterly Report on Form 10-Q, we may require significant additional funds earlier than we currently expect in order to continue to commercialize our approved products, and to develop, conduct clinical trials for, manufacture and, if approved, commercialize additional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market risks related to interest rates are described in our Annual Report on Form 10-K for the year ended December 31, 2025. As of March 31, 2026, there have been no significant changes to the financial market risks described as of December 31, 2025. We do not currently anticipate any other near-term changes in the nature of our financial market risk exposures or in management’s objectives and strategies with respect to managing such exposures.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executive vice president, Chief Financial Officer (principal financial officer), evaluated the effectiveness of our disclosure controls and procedures as of March 31, 2026.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executive vice president, Chief Financial Officer concluded that, as of such date, our disclosure controls and procedures were effective at the reasonable assurance level.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 discussion of material pending legal proceedings, please read Note 12, Commitments and Contingencies, to our condensed consolidated financial statements included in Part I, Item 1, “Financial Statements (Unaudited),” of this Quarterly Report on Form 10-Q, which is incorporated into this item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following risk factors in addition to the other information set forth or incorporated by reference in this Quarterly Report on Form 10-Q, including our condensed consolidated financial statements and the related notes and “Management’s Discussion and Analysis of Financial Condition and Results of Operations,” in evaluating our company and our business. If any of the following risks, or any additional risk not currently known to us or that we currently deem immaterial, actually occurs, our business, prospects, operating results or financial condition could be materially and adversely affected. In these circumstances, the trading price of our common stock could decline, and you may lose all or part of your investment.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discussed in more detail in the following section. These risks include, among others, the following key risks: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Related Risks – Risks Related to Our Financial Results</w:t>
      </w:r>
    </w:p>
    <w:p>
      <w:pPr>
        <w:spacing w:after="0" w:line="108"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sustain and grow revenues from sales of AMVUTTRA, our business would be materially harmed, our future operating results would be adversely impacted, and the market price of our common stock would likely decline.</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sale of our approved products, including AMVUTTRA for ATTR amyloidosis with cardiomyopathy, or any future products for which we or our collaborators receive regulatory approval may be unsuccessful or less successful than anticipated.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sustain profitability.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funds to continue our research, development and commercialization activities.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21" w:lineRule="exact"/>
        <w:rPr>
          <w:sz w:val="20"/>
          <w:szCs w:val="20"/>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existing or enter into new collaborations with other companies that can provide us with external innovation or with business and scientific capabilities and funds for the development and commercialization of certain of our product candidates.</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collaborator materially amends, terminates or fails to perform its obligations under agreements with us, the development and commercialization of certain of our product candidates could be delayed or terminated.</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significant costs as we continue to grow our manufacturing capabilities and resources and develop manufacturing expertise; in the meantime, we rely, and expect to continue to rely, on third parties to manufacture our products.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if such third parties fail to fulfill their obligations, our development plans may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Operations</w:t>
      </w:r>
    </w:p>
    <w:p>
      <w:pPr>
        <w:spacing w:after="0" w:line="121" w:lineRule="exact"/>
        <w:rPr>
          <w:sz w:val="20"/>
          <w:szCs w:val="20"/>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key management and scientists, development, medical and commercial staff, consultants and advisors, our ability to implement our business plan may be adversely affected.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continuing to expand our global operations successfully.</w:t>
      </w:r>
    </w:p>
    <w:p>
      <w:pPr>
        <w:spacing w:after="0" w:line="10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Industry Related Risks – Risks Related to Development, Clinical Testing and Regulatory Approval of Our Product Candidates and the Commercialization of Our Approved Products</w:t>
      </w:r>
    </w:p>
    <w:p>
      <w:pPr>
        <w:spacing w:after="0" w:line="3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 we or our collaborators develop may fail in development or experience significant delays.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current or future products or product candidates causes undesirable side effects or has other unexpected adverse properties, such side effects or properties could delay or prevent regulatory approval, limit the commercial potential or result in significant negative consequences following any potential regulatory approval.</w:t>
      </w:r>
    </w:p>
    <w:p>
      <w:pPr>
        <w:spacing w:after="0" w:line="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obtain regulatory approval for our or our collaborated product candidates, and, as a result, we or our collaborators may be unable to commercialize such product candidates.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our collaborators obtain regulatory approvals, our products will be subject to ongoing regulatory oversight.</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liability if enforcement authorities allege or determine that we are engaging in commercial activities with respect to our unapproved product candidates or promoting our commercially approved products in a way that violates applicable regulations.</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our collaborators receive regulatory approval to market our product candidates, the market may not be receptive to such product candidates upon their commercial introduction.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multi-product commercial company and expect to continue to invest significant financial and management resources to continue to build our marketing, sales, market access and distribution capabilities and further establish our global infrastructure, and our efforts may not be successful.</w:t>
      </w:r>
    </w:p>
    <w:p>
      <w:pPr>
        <w:spacing w:after="0" w:line="8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we currently market or may develop in the future may become subject to unfavorable pricing regulations, third-party reimbursement practices or healthcare reform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Patents, Licenses and Trade Secrets</w:t>
      </w:r>
    </w:p>
    <w:p>
      <w:pPr>
        <w:spacing w:after="0" w:line="121" w:lineRule="exact"/>
        <w:rPr>
          <w:sz w:val="20"/>
          <w:szCs w:val="20"/>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enforce patent protection for our discoveries, our ability to develop and commercialize our product candidates will be harmed.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patent rights from third-party owners. If such owners do not properly or successfully obtain, maintain or enforce the patents underlying such licenses, our competitive position and business, prospects, operating results and financial condition may be harmed.</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or organizations may challenge our patent rights or may assert patent rights that prevent us from developing and commercializing our products.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involved in intellectual property litigation or other proceedings related to a determination of rights, we could incur substantial costs and expenses, and in the case of such litigation or proceedings against us, substantial liability for damages or be required to stop our product development and commercialization efforts.</w:t>
      </w:r>
    </w:p>
    <w:p>
      <w:pPr>
        <w:spacing w:after="0" w:line="8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licenses or related agreements, we may be required to pay damages and could lose license or other rights that are necessary for developing, commercializing and protecting our current and future products and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121" w:lineRule="exact"/>
        <w:rPr>
          <w:sz w:val="20"/>
          <w:szCs w:val="20"/>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market is intensely competitive. If we or our collaborators are unable to compete effectively with existing drugs, new treatment methods and new technologies, we or our collaborators may be unable to commercialize successfully any drugs that we or our collaborators develop.</w:t>
      </w:r>
    </w:p>
    <w:p>
      <w:pPr>
        <w:spacing w:after="0" w:line="8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face competition from other companies that are working to develop novel drugs and technology platforms using technology similar to ours, as well as from companies utilizing emerging technologies.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in the future be volatile, and an investment in our common stock could suffer a decline in value.</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Convertible Notes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cash flow from our business to pay our indebtedness.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for cash conversions of our 1.00% Convertible Senior Notes due 2027, or the 2027 Notes, or to repurchase the 2027 Notes or our 0.00% Convertible Senior Notes due 2028, or the 2028 Notes, and, together with the 2027 Notes, the Notes, for cash upon a fundamental change.</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 of the Notes, if triggered, may adversely affect our liquidity.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sustain and grow revenues from sales of AMVUTTRA, our business would be materially harmed, our future operating results would be adversely impacted, and the market price of our common stock would likely decline.</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and the first quarter of 2026, a significant portion of our net product revenues was derived from the sale of our TTR products, and in particular AMVUTTRA for the treatment of ATTR-CM following our receipt of regulatory approval from the FDA in March 2025 and in certain jurisdictions outside of the U.S. since that time. We expect that sales of</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AMVUTTRA will continue to account for a significant portion of our net product revenues in future years. As a result, our business is dependent upon our ability to sustain and grow revenues from sales of AMVUTTRA.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commercial success of AMVUTTRA and our ability to sustain and grow revenue from the sale of AMVUTTRA depends on several factors, including:</w:t>
      </w:r>
    </w:p>
    <w:p>
      <w:pPr>
        <w:spacing w:after="0" w:line="10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AMVUTTRA;</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or reimbursement policies of government or third-party payors, including Medicare and Medicaid in the U.S. and other government and private payors in the U.S. and foreign jurisdictions, that may make it difficult to obtain reimbursement or may reduce the net price we receive for AMVUTTRA, as well as U.S. and foreign payor restrictions on eligible patient populations and the reimbursement process (including drug price control measures that have been or may be enacted or introduced in the U.S. by various federal and state authorities);</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any new healthcare laws and regulations currently being considered or implemented in the U.S. and globally, including most-favored nation pricing measures, measures requiring the U.S. government in the future to negotiate the prices of certain drugs, and price reporting and other disclosure requirements, as well as the potential impacts of such requirements on physician prescribing practices and payor coverage;</w:t>
      </w:r>
    </w:p>
    <w:p>
      <w:pPr>
        <w:spacing w:after="0" w:line="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commercial strategy in and outside the U.S. for the marketing of AMVUTTRA, including our pricing and market access strategy;</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therapies and the potential introduction and success of additional competing therapies (including generic versions of competing therapies) that may be developed successfully by others as a treatment for ATTR-CM and/or hATTR-PN;</w:t>
      </w:r>
    </w:p>
    <w:p>
      <w:pPr>
        <w:spacing w:after="0" w:line="54"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sales of AMVUTTRA in the face of competitive products and to differentiate AMVUTTRA from competitive products, and the willingness of prescribing physicians and patients to start or continue treatment with AMVUTTRA or to switch from a competing product to AMVUTTRA;</w:t>
      </w:r>
    </w:p>
    <w:p>
      <w:pPr>
        <w:spacing w:after="0" w:line="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by doctors, payors and patients of the cost of AMVUTTRA relative to the perceived benefits and our ability to obtain and sustain favorable access and reimbursement dynamics;</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with ATTR-CM and hATTR-PN, and the number of patients diagnosed with ATTR-CM and hATTR-PN who may be treated with AMVUTTRA;</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uninterrupted supply of AMVUTTRA;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continued regulatory exclusivity and patent protection for AMVUTTRA; and</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and pricing and reimbursement approval for and successfully commercialize AMVUTTRA in additional jurisdictions outside of the U.S.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are unable to maintain or obtain marketing approval of AMVUTTRA, if we experience difficulty with the commercialization of AMVUTTRA due to one or more of these or any other factors, if the net product revenue of AMVUTTRA declines or if the growth of the net product revenue of AMVUTTRA does not meet our expectations or the expectations of investors, public equity market analysts or others, we may experience a reduction in revenue or expected revenue and may not be able to maintain profitability. Any of these developments would materially harm our business, prospects, operating results and financial condition and the market price of our common stock likely would decline.</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marketing and sale of our approved products, including AMVUTTRA for ATTR amyloidosis with cardiomyopathy, or any future products for which we or our collaborators receive regulatory approval may be unsuccessful or less successful than anticipated.</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commercially launched four products and have two additional products being commercialized by our collaborators, we cannot predict whether we will successfully market and sell our approved products, including AMVUTTRA, which was launched in the U.S. for the treatment of ATTR amyloidosis with cardiomyopathy following FDA approval in March 2025.</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To execute our business plan of achieving leadership in ATTR amyloidosis, driving sustainable innovation, and delivering sustained, profitable growth under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 in addition to successfully launching, marketing and selling our TTR products and our other approved products, we will also need to successfully:</w:t>
      </w:r>
    </w:p>
    <w:p>
      <w:pPr>
        <w:spacing w:after="0" w:line="61" w:lineRule="exact"/>
        <w:rPr>
          <w:sz w:val="20"/>
          <w:szCs w:val="20"/>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product development activities and continue to leverage new technologies related to both RNAi and to the delivery of siRNAs to the relevant tissues and cells, including the liver, CNS, eye, lung, adipose, muscle and other tissues;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 strong intellectual property portfolio;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our product candidates and commercialize any product candidates for which we receive regulatory approval;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commercial strategy and attract and retain customers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successful collaborations, including to access external innovation; and</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our costs and expenses increase due to, among other things, an increase in the number and size of our clinical trials, and the expansion of our commercialization activities.</w:t>
      </w:r>
    </w:p>
    <w:p>
      <w:pPr>
        <w:spacing w:after="0" w:line="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If we are unsuccessful in accomplishing the objectives set forth above or achieving any component of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 our stock price may decline and we may not be able to develop product candidates, successfully launch and commercialize our approved products or any future products, raise capital, if needed, repay our indebtedness, sustain profitability or continue our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sustain profitability.</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We have experienced significant operating losses since our inception. As of March 31, 2026, we had an accumulated deficit of $6.50 billion. Although to date we have launched four products in the U.S., EU and various other countries globally, and expect to launch our commercially approved products, including AMVUTTRA in patients with ATTR amyloidosis with cardiomyopathy, in additional countries during 2026 and in subsequent years, and have two marketed products being commercialized by our collaborators, we achieved profitability for the first time in fiscal year 2025 and we may not be able to sustain profitability or positive cash flow from operations. For the three months ended March 31, 2026, we recognized $1.04 billion in net product revenues from sales of AMVUTTRA, ONPATTRO, GIVLAARI and OXLUMO. Although we achieved profitability in 2025, we may incur annual operating losses in future periods and will require substantial resources over the next several years as we expand our efforts to discover, develop and commercialize RNAi therapeutics and seek to achieve the goals of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w:t>
      </w:r>
    </w:p>
    <w:p>
      <w:pPr>
        <w:spacing w:after="0" w:line="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we believe the revenue we expect to generate from product sales and under our existing collaborations, including royalties on sales of Leqvio and Qfitlia, and cemdisiran, if approved, should enable us to sustain operating profitability, we also will depend on our ability to generate incremental product, collaboration and royalty revenues to do so. In addition to revenues derived from sales of our current and future, if any, commercially approved products, we anticipate that a portion of any revenues we generate over the next several years will continue to be from collaborations with pharmaceutical and biotechnology companies, including Roche, Regeneron, Sanofi and Novartis, and we cannot be certain that we will be able to maintain our existing collaborations, secure and maintain new collaborations, meet our obligations under collaboration agreements, or achieve any milestones that we may be required to meet or achieve to receive payments under our existing or new collaborations. Moreover, we cannot be certain that our collaborators, including Roche, Regeneron, Novartis and Sanofi, will continue to successfully execute their obligations under our collaboration agreements and generate collaboration and royalty revenues for us.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sustain profitability, we will need to succeed in discovering, developing and commercializing our existing products and additional product candidates with significant market potential. This will require us to build upon the success we have had in a range of challenging activities, including continued platform innovation, preclinical testing and clinical trial stages of development, obtaining regulatory approval and reimbursement for our novel product candidates and manufacturing, marketing and selling our approved products. We may not be able to sustain or increase profitability on a quarterly or annual basis. If we cannot remain consistently profitable, the market price of our common stock could decline. In addition, we may be unable to raise capital, expand our business, develop and commercialize additional product candidates or continue our operations.</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funds to continue our research, development and commercialization activities, and if we require greater funds than we have estimated, we may need to critically limit, significantly scale back or cease certain activities.</w:t>
      </w:r>
    </w:p>
    <w:p>
      <w:pPr>
        <w:spacing w:after="0" w:line="5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We have used substantial funds to develop our RNAi technologies and will require substantial funds to conduct further research and development activities, including preclinical testing and clinical trials of our product candidates, and to manufacture, market and sell our approved products and any other products that are approved for commercial sale. Because the length of time or scope of activities associated with successful development of our product candidates may be greater than we anticipate, we may be unable to estimate the actual funds needed to develop and commercialize our product candidates.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capital requirements and the period for which our existing resources will support our operations may vary from what we currently expect. We have based our expectations on a number of factors, many of which are difficult to predict or are outside of our control, including:</w:t>
      </w:r>
    </w:p>
    <w:p>
      <w:pPr>
        <w:spacing w:after="0" w:line="54"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our research and development programs, including programs across a broad range of disease areas and indications, as well as what may be required by regulatory authorities to advance these programs;</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milestone, royalty, research and development funding and other payments, if any, from present and future collaborators, if any, including milestone, royalty and research and development funding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payments from Roche with respect to the development and commercialization of zilebesiran, as well as royalty payments from Novartis and Sanofi related to the commercialization of Leqvio and Qfitlia, respectively;</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existing and additional collaborations and/or new business initiatives;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improved product profiles to emerge from our new technologies and our ability to successfully advance our delivery efforts in extrahepatic tissues;</w:t>
      </w:r>
    </w:p>
    <w:p>
      <w:pPr>
        <w:spacing w:after="0" w:line="6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time and costs required to successfully initiate and complete our preclinical studies and clinical trials, obtain regulatory approvals, prepare for global commercialization of our product candidates and obtain and maintain licenses to third-party intellectual property;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operate and expand our own manufacturing facilities in a timely and cost-effective manner;</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contract with third parties for the manufacture of, our product candidates for clinical testing and our approved products for commercial sale;</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pandemics or public health emergencies on the initiation or completion of preclinical studies or clinical trials and the supply of our products or product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time and cost required for the preparation, filing, prosecution, maintenance and enforcement of patent claims;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activities, including litigation and government investigations, arising in the course of our business activities and our ability to prevail or reach a satisfactory result in any such legal disputes and investigations; and</w:t>
      </w:r>
    </w:p>
    <w:p>
      <w:pPr>
        <w:spacing w:after="0" w:line="4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global regulatory review process and commercial success of our products, including AMVUTTRA for the treatment of ATTR-CM, and products for which we are entitled to receive royalties, including Leqvio and Qfitlia.</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estimates, predictions and financial guidance relating to these factors are incorrect, we may need to modify our operating plan and may be required to seek additional funding in the future. We may do so through either collaborative arrangements, public or private equity offerings or debt financings, royalty or other monetization transactions or a combination of one or more of these funding sources. Additional funds may not be available to us on acceptable terms or at all.</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any financing we may be required to pursue in the future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our existing stockholders.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require additional funding and are unable to obtain such funding on a timely basis, we may be required to significantly delay or curtail one or more of our research or development programs, or delay or curtail the further development of our global commercial infrastructure, and our ability to achieve our long-term strategic goals may be delayed or diminished. We also could be required to seek funds through arrangements with collaborators or others that may require us to relinquish rights to some of our technologies, product candidates or products that we would otherwise pursue on our own.</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Although we sold a portion of the royalty stream from the global sales of Leqvio by Novartis, we are entitled to retain the remaining portions of the future royalties on Leqvio, and any negative developments related to Leqvio could have a material adverse effect on our receipt of those future royalties.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April 2020, we </w:t>
      </w:r>
      <w:r>
        <w:rPr>
          <w:rFonts w:ascii="Times New Roman" w:cs="Times New Roman" w:eastAsia="Times New Roman" w:hAnsi="Times New Roman"/>
          <w:sz w:val="18"/>
          <w:szCs w:val="18"/>
          <w:color w:val="333333"/>
        </w:rPr>
        <w:t>sold to</w:t>
      </w:r>
      <w:r>
        <w:rPr>
          <w:rFonts w:ascii="Times New Roman" w:cs="Times New Roman" w:eastAsia="Times New Roman" w:hAnsi="Times New Roman"/>
          <w:sz w:val="18"/>
          <w:szCs w:val="18"/>
          <w:color w:val="auto"/>
        </w:rPr>
        <w:t xml:space="preserve"> BX Bodyguard Royalties L.P. (an affiliate of The Blackstone Group Inc.), or Blackstone Royalties, 50% of the royalties payable to us with respect to net sales by Novartis, its affiliates or sublicensees of Leqvio under the MDCO License Agreement. Under our agreement with Blackstone Royalties, if Blackstone Royalties does not receive royalty payments in respect of global sales of Leqvio equaling at least $1.00 billion by December 31, 2029, Blackstone Royalties’ interest in Leqvio royalties will increase to 55% (and our interest will decrease to 45%) effective January 1, 2030. As a result, any factor that has an adverse impact on sales of Leqvio could affect our ability to meet the $1.00 billion repayment threshold in this timeframe, which in turn would have a negative impact on the percentage of the Leqvio royalty stream that we are entitled to retain.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have an adverse impact on Leqvio sales include:</w:t>
      </w:r>
    </w:p>
    <w:p>
      <w:pPr>
        <w:spacing w:after="0" w:line="10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new therapies or alternative formulations of products for HeFH and ASCVD;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Leqvio by patients, the medical community or third party payors;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developments relating to Leqvio, such as safety, efficacy, or pricing or reimbursement issues;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concerning patents or proprietary rights (including any emergence of potential generic competition), or under license and collaboration agreements;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legislative developments that limit or prohibit the sale of Leqvio, such as restrictions on the use of Leqvio or safety-related label changes, including enhanced risk management programs.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revenues generated by sales of Leqvio are lower than expected, we may not receive royalties in the amount we are currently anticipating, and our business, prospects, operating results and financial condition could be materially and adversely affected.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financial statements and/or our projected guidance prove inaccurate, our actual results may vary from those reflected in our projections and accruals.</w:t>
      </w:r>
    </w:p>
    <w:p>
      <w:pPr>
        <w:spacing w:after="0" w:line="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accounting principles generally accepted in the U.S., or GAAP. The preparation of these condensed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 from time to time we issue financial guidance relating to our expectations regarding our net product revenues (both for our TTR products and for all of our approved products), collaboration and royalty revenues, and GAAP and non-GAAP combined research and development and selling, general and administrative expenses. Our guidance is based on a number of assumptions and estimates that are subject to significant business, economic and competitive uncertainties and contingencies that are beyond our control, as well as the judgment of our management. If, for any reason, our net product revenues, collaboration and royalty revenues and/or expenses differ materially from our guidance, we may have to adjust our publicly announced financial guidance. If we fail to meet, or if we are required to change or update any element of, our publicly disclosed financial guidance or other expectations about our business, our stock price could decline.</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investment of our cash, cash equivalents and marketable securities is subject to risks which may cause losses and affect the liquidity of these investments.</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March 31, 2026, we had $3.01 billion in cash, cash equivalents and marketable securities. We historically have invested these amounts in money market funds, certificates of deposit, commercial paper, corporate notes, U.S. government-sponsored enterprise securities and U.S. treasury securities through highly rated financial institutions. Corporate notes may also include foreign bonds denominated in U.S. dollars. These investments are subject to general credit, liquidity, market and interest rate risks. We may experience losses in the fair value of these investments or a complete loss of these investments, which would have a negative effect on our financial condition. In addition, should our investments cease paying or reduce the amount of interest paid to us, our interest income would decline. The market risks associated with our investment portfolio may have an adverse effect on our operating results, liquidity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foreign currency exchange rates could have a material adverse effect on our operating results.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 from outside of the U.S. is expected to increase as our products, whether commercialized by us or our collaborators, gain marketing approval in foreign jurisdictions. We are exposed to foreign exchange risk as certain of our expenses and liabilities are required to be paid in currencies other than the U.S. dollar. Our primary foreign currency exposure relates to movements in the U.S. dollar relative to the Japanese yen, Euro and British pound.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 exchange rates between the U.S. dollar and the other foreign currencies to which we are exposed have fluctuated significantly in response to international political conditions, general economic conditions and other factors beyond our control. In addition, the current presidential administration has enacted or proposed to enact certain economic and trade policies, including with respect to tariffs, that could impact the global economy and further increase the volatility of foreign exchange rates. Any future volatility in foreign exchange rates is likely to impact our operating results and financial condition.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business, prospects, operating results and financial condition.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been made and changes are likely to continue to occur in the future. Future changes in tax laws could have a material adverse effect on our business, prospects, operating results and financial condition.</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Additionally, the Organization for Economic Co-operation and Development, or the OECD, the EC, and individual taxing jurisdictions where we and our affiliates do business have recently focused on issues related to the taxation of multinational corporations. The OECD has released its comprehensive plan to create an agreed set of international rules for fighting base erosion and profit shifting. In addition, the OECD, the EC and individual countries are examining changes to how taxing rights should be allocated among countries considering the digital economy. As a result, tax laws in the U.S. and other countries in which we and our affiliates do business could change on a prospective or retroactive basis and any such changes could materially adversely affect our business, prospects, operating results and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subject to income tax in the U.S. and the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may disagree with our interpretation of tax law as applied to our and our subsidiaries’ operations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Global Anti-Base Erosion Model Rules have influenced tax laws in countries in which we operate, including the implementation of minimum taxes. Changes to these or other laws and regulations or their interpretations could materially and adversely impact our effective tax rate or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our existing collaborations, or enter into new collaborations with companies that can provide us with external innovation or with business and scientific capabilities and funds for the development and commercialization of certain of our product candidates, which may have a negative impact on our business, prospects, operating results and financial condition.</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do not currently have adequate capacity or capabilities to advance all opportunities arising from our growing pipeline of RNAi therapeutics. Accordingly, we have entered into collaborations with third party collaborators we believe can provide such capacity and capabilities in certain territories and/or for certain product candidates, and we may enter into additional such collaborations in the future. Specifically, we currently have active collaborations with, among other companies, Roche, Regeneron, Sanofi and Novartis, covering various products and product candidates in our pipeline.</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such collaborations, we expect our current, and any future, collaborators to provide substantial capabilities in clinical development, regulatory affairs, and/or marketing, sales and distribution. Under certain of our collaborations, we also expect our collaborators to develop, market and/or sell certain of our product candidates in certain territories or globally, and we have limited or no control over the development, sales, marketing and distribution activities of these collaborators. Our future revenues may depend on the success of the efforts of these third parties. For example, we will rely entirely on (i) Regeneron for the worldwide development and commercialization of all programs targeting eye diseases (subject to limited exceptions), and certain CNS and liver programs, including cemdisiran; (ii) Novartis for the development and commercialization of Leqvio worldwide; (iii) Sanofi for the commercialization of Qfitlia worldwide; and (iv) Roche for the commercialization of zilebesiran outside of the U.S. In the case of each collaboration referenced in clauses (i)-(iv) above, we are entitled to royalties, and in some instances commercial milestone payments, on the sales of the applicable product. If our collaborators are delayed or unsuccessful in their development and/or commercialization efforts, our anticipated future revenues from the relevant product or product candidate would be adversely affected. As discussed above, under our agreement with Blackstone Royalties, if the revenues generated by the royalties received by Blackstone Royalties from us with respect to Leqvio sales do not reach a certain level by the end of 2029, Blackstone Royalties will be entitled to a higher royalty percentage beginning in 2030, which would have a negative impact on the percentage of the Leqvio royalty stream that we are entitled to retain.</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successful in entering into future collaborations on terms favorable to us due to various factors, including our ability to demonstrate improved product profiles from our new technologies, our ability to successfully demonstrate proof-of-concept for our technology in humans in certain tissues or disease areas, our ability to demonstrate the safety and efficacy of our specific product candidates, our ability to manufacture or have third parties manufacture RNAi therapeutics, the strength of our intellectual property portfolio and/or concerns around challenges or potential challenges to our intellectual property portfolio. Even when we succeed in securing such new collaborations, we may not be able to maintain them, or they may not be successful, if, for example, development or approval of a product candidate is delayed, challenges are raised as to the validity or scope of our intellectual property, we are unable to secure adequate reimbursement from payors, sales of an approved drug are lower than we expected, or our collaborator changes its strategic focus or otherwise determines not to move forward with a product or product candidate or to continue its collaboration with us.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any delay in entering into new collaboration agreements would have the potential to prevent or delay the development and commercialization of certain product candidates, or reduce the competitiveness of such product candidates if they ultimately reach the market, which in turn could adversely affect our business, prospects, operating results and financial condition.</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certain product candidates, we have formed collaborations to fund all or part of the costs of drug development and commercialization, such as our collaborations with Roche, Regeneron, Sanofi and Novartis. We may not, however, be able to enter into additional collaborations for certain other programs, and the terms of any collaboration agreements we do secure may not be favorable to us. If we are not successful in our efforts to enter into future collaboration arrangements with respect to one or more of our product candidates, we may not have sufficient funds or other resources to develop these product candidates or other product candidates on our own, or to bring such product candidates to market. In these circumstances, we will not be able to generate revenues from these product candidates, and this will substantially harm our business, prospects, operating results and financial condition.</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collaborator materially amends, terminates or fails to perform its obligations under agreements with us, the development and commercialization of our products or product candidates could be delayed or terminated.</w:t>
      </w:r>
    </w:p>
    <w:p>
      <w:pPr>
        <w:spacing w:after="0" w:line="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dependence on collaborators for capabilities and funding means that our business could be adversely affected if any collaborator materially amends or terminates its collaboration agreement with us, in whole or in part, or fails to perform its obligations under that agreement. Our current or future collaborations, if any, may not be scientifically or commercially successful. Disputes may arise in the future with respect to the ownership of rights to technology or products developed with our collaborators, which could have an adverse effect on our ability to develop and commercialize any affected product candidate. Our current collaborations allow, and we expect that any future collaborations will allow, either party to terminate the collaboration for a material breach by the other party.</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under certain circumstances, our collaborators may have additional termination rights for convenience with respect to the collaboration as a whole or a particular program under the collaboration. For example, in August 2024, we announced that Regeneron had opted out of further co-development and co-commercialization of mivelsiran for portfolio prioritization reasons. As a result of Regeneron’s opt-out, we have full development and commercialization rights to mivelsiran in all indications but we are responsible for funding further development and commercialization of mivelsiran, including the ongoing Phase 2 development program, without funding from Regeneron. Regeneron will be eligible to receive low double-digit royalties on sales of mivelsiran, if approved. The Initial Research Term under our ongoing collaboration with Regeneron will expire in May 2026. As a result, we and Regeneron will not nominate additional targets to be added to our collaboration.</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agreement with Novartis relating to the development and commercialization of Leqvio worldwide may be terminated by Novartis at any time upon four months’ prior written notice, provided if the agreement is terminated by Novartis for convenience, Novartis must grant a license to us under certain technology developed in the course of its (or MDCO’s) activities under the agreement, subject to a royalty to be negotiated between the parties. Moreover, any adverse actions by Novartis with respect to, or disputes with Novartis regarding, the MDCO License Agreement could adversely impact our ability to comply with our obligations under our agreements with Blackstone Royalties. If we were to lose a commercialization collaborator, we would have to attract a new collaborator (potentially on less favorable terms for us than we have with our existing collaborator) or develop expanded sales, distribution and marketing capabilities internally, which would require us to invest significant financial and management resources.</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if we have a dispute with a collaborator over the ownership of technology or other matters, or if a collaborator terminates its collaboration with us, for breach or otherwise, or determines not to pursue the research, development and/or commercialization of the affected product or product candidate, it could delay our development of product candidates, result in the need for additional company resources to develop the impacted product candidate(s), require us to expend time and resources to develop expanded sales and marketing capabilities on a more expedited timeline, make it more difficult for us to attract new collaborators and adversely affect how we are perceived in the business and financial communities.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a collaborator, or in the event of a change in control of a collaborator or the assignment of a collaboration agreement to a third party, the successor entity or assignee, as in the case of MDCO and Novartis, could determine that it is in its interests to:</w:t>
      </w:r>
    </w:p>
    <w:p>
      <w:pPr>
        <w:spacing w:after="0" w:line="54"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alternative technologies or develop alternative products, either on its own or jointly with others, that may be competitive with the products on which it is collaborating with us or which could affect its commitment to its collaboration with us;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higher-priority programs or change the focus of its development programs, which could affect the collaborator’s commitment to us; or</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has commercial rights, choose to devote fewer resources to the marketing of our products, if any receive regulatory approval, than it does for products developed or commercialized outside of our collaboration.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occur, the development and commercialization of one or more products or product candidates could be delayed, curtailed or terminated because we may not have sufficient financial resources or capabilities to continue such development and commercialization on our own.</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significant costs as we continue to grow our manufacturing capabilities and resources and develop manufacturing expertise; in the meantime, we rely, and expect to continue to rely, on third parties to manufacture our products and product candidates. The loss of these or future third-party suppliers, or their inability to provide us with sufficient supply, could harm our business.</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been expanding our manufacturing capabilities, and to continue to commercialize our approved products, continue to develop our current product candidates, apply for regulatory approvals and, if approved, commercialize future products, we will need to continue to develop our internal manufacturing capabilities and/or contract or otherwise arrange for any necessary external manufacturing capabilities. During 2020, we completed construction and qualification of our manufacturing facility in Norton, Massachusetts where we manufacture drug substances for early-stage clinical development and have the potential to manufacture drug substances for late-stage clinical development and commercial use, in the future. In December 2025, we announced a planned expansion of the Norton facility designed to increase capacity meaningfully, significantly reduce production costs, and position us to support future launches across our growing pipeline of potential new medicines.</w:t>
      </w:r>
    </w:p>
    <w:p>
      <w:pPr>
        <w:spacing w:after="0" w:line="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At the present time, we only have the capacity to manufacture limited quantities of clinical trial drug substance ourselves, and otherwise we continue to rely on third party CMOs to manufacture additional drug substance, and we rely on third party CMOs for all of our drug product requirements for clinical and commercial use. There are a limited number of CMOs worldwide with the expertise to manufacture our siRNA therapeutic products, and we currently rely on a limited number of CMOs in North America, Europe and Asia to manufacture our products and product candidates. There are risks inherent in pharmaceutical manufacturing that could affect the ability of our CMOs to meet our delivery time requirements or provide adequate amounts of material to meet our needs, and if our CMOs fail to do these things it could delay our clinical trials and potentially put our commercial supply at risk, as well as result in additional expense to us. To fulfill our future requirements, we will likely need to contract with additional CMOs, and such alternative suppliers may be limited, not be readily available, or we may be unable to enter into agreements with them on reasonable terms and in a timely manner, or at all.</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the manufacture of synthetic siRNAs, we may have additional manufacturing requirements related to the technology required to deliver the siRNA to the relevant cell or tissue type, such as LNPs or conjugates or other drug delivery technologies. In some cases, the delivery technology we utilize is specialized or proprietary, and for technical and/or legal reasons, we may have access to only one or a limited number of potential manufacturers for such delivery technology. In addition, the scale-up of our delivery technologies could be very difficult and/or take significant time. We also have limited experience in such scale-up and manufacturing, requiring us to depend on a limited number of third parties, who might not be able to deliver in a timely manner, or at all. Failure by manufacturers to properly manufacture our delivery technology and/or formulate our siRNAs for delivery could result in unusable product, supply delays and drug shortages. Furthermore, competition for supply from our manufacturers from other companies, a breach by such manufacturers of their contractual obligations or a dispute with such manufacturers would disrupt our clinical and/or commercial supply, cause delays in our discovery and development efforts, and result in additional expense to us.</w:t>
      </w:r>
    </w:p>
    <w:p>
      <w:pPr>
        <w:spacing w:after="0" w:line="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or at all. Given our dependence on a limited number of CMOs to supply our commercial products and clinical candidates, and the ongoing utilization of our own facilities, any delay or setback in the manufacture of our products could impede ongoing clinical and commercial supply, which could materially and adversely impact our business, prospects, operating results and financial condition. In addition, to the extent we or our collaborators rely on CMOs to supply our product candidates, any delays or disruptions in supply could have a material adverse impact on the research and development activities and potential commercialization of our or our collaborators’ product candidates.</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manufacturing processes for our products and any other product candidates that we may develop is subject to FDA and foreign regulatory authority approval processes, and we will need to meet, and will need to contract with CMOs that can meet, all applicable FDA and foreign regulatory authority requirements on an ongoing basis. The failure of any CMO to meet required regulatory authority requirements could result in the delayed submission of regulatory applications, or delays in receiving regulatory approval for any of our or our current or future collaborators’ product candidates. In addition, if we receive the necessary regulatory approval for any product candidate, we also expect to rely on third parties, including potentially our commercial collaborators, to produce materials required for commercial supply.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December 2025, the BIOSECURE ACT was enacted into law as part of the National Defense Authorization Act for fiscal year 2026. The BIOSECURE ACT prohibits U.S. federal executive agencies from contracting with</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entity where the biotechnology equipment or services of a “biotechnology company of concern” would be used in the performance of that contract. Generally, a “biotechnology company of concern”, or BCOC, is a biotechnology company that is subject to the jurisdiction, direction, control, or operates on behalf of a foreign adversary’s government and poses a risk to the national security of the U.S. BCOCs include entities listed on the Department of Defense Section 1260H list of “Chinese military companies” and additional entities to be designated through an interagency process led by the Office of Management and Budget, or OMB. OMB has not yet identified any BCOCs. The BIOSECURE ACT has the potential to severely restrict our ability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the legislation described above and alternative arrangements may need to be made.</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current presidential administration has substantially altered prior U.S. government international trade policy and has commenced activities to renegotiate, or potentially terminate, certain existing bilateral or multi-lateral trade agreements and treaties with foreign countries. In addition, the administration has initiated or is considering imposing tariffs on certain foreign goods, and has announced plans to impose or increase tariffs of potentially 100% or more on pharmaceuticals, including pharmaceutical products and components manufactured outside of the U.S. Related to this action, certain foreign governments, including China, have instituted or are considering imposing reciprocal tariffs on certain U.S. goods. It remains unclear what the current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U.S. or to sell our products outside the U.S. at competitive prices and/or to affect the U.S. or global economy or certain sectors thereof and, thus, could adversely impact our business. Although it remains unclear whether and to what extent any such tariffs will ultimately be adopted or implemented, or the effect that any such actions would have on us, our third party CMOs or our industry, any unfavorable tariffs may increase our cost of goods sold.</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third parties we engage to supply materials or manufacture product candidates or products for preclinical testing or clinical or commercial supply should cease to do so for any reason, we would likely experience delays in advancing these preclinical tests and clinical trials and/or interruptions in commercial supply while we identify and qualify replacement suppliers or manufacturers, and we may be unable to obtain replacement supplies on terms that are favorable to us, or at all. If we are not able to obtain adequate supplies of our product candidates or products or the substances used to manufacture them, it could materially and adversely impact our business, prospects, operating results or financial condition.</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8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not be able to initiate or continue clinical trials of product candidates that are under development;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delayed in submitting regulatory applications, or receiving regulatory approvals, for our product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cooperation of our collaborators;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and those of our CMOs, and our products could be the subject of inspections by regulatory authorities that could have a negative outcome and result in supply delays;</w:t>
      </w:r>
    </w:p>
    <w:p>
      <w:pPr>
        <w:spacing w:after="0" w:line="5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cease distribution or recall some or all batches, of our products or take action to recover clinical trial material from clinical trial sites;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we may not be able to meet the clinical and commercial demands for our products and product candidates.</w:t>
      </w:r>
    </w:p>
    <w:p>
      <w:pPr>
        <w:spacing w:after="0" w:line="1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if such third parties fail to fulfill their obligations, our development plans may be adversely affected.</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for our clinical trials, including site selection, enrollment, monitoring, auditing and data management services. These investigators and CROs are not our employees, and we have limited control over the amount of time and resources they dedicate to our programs. These third parties may have contractual relationships with other entities, some of which may be our competitors, which may draw their time and resources away from our programs. Although we depend heavily on these parties, we control only limited aspects of their activity and therefore, we cannot be assured that these third parties will adequately perform their contractual obligations to us in compliance with regulatory and other legal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requirements and our internal policies and procedures. Nevertheless, we are responsible for ensuring that each of our studies is conducted in accordance with the applicable protocol, legal, regulatory and scientific standards, and our reliance on third parties does not relieve us of our regulatory responsibilities. We and our CROs are required to comply with applicable GCP requirements, which are regulations and guidelines enforced by the FDA and foreign regulatory authorities for our product candidates in clinical development, and to implement timely corrective action to address any non-compliance. Regulatory authorities enforce these GCP requirements through periodic inspections of trial sponsors, principal investigators and trial sites, including in connection with the review of marketing applications. If we or any of our CROs fail to comply with applicable GCP requirements, or fail to take any such corrective action in a timely manner or at all, the clinical data generated in our clinical trials may be deemed unreliable, and the FDA, EMA, PMDA or other foreign regulatory authorities may require us to take additional action or perform additional clinical trials before approving our marketing applications. We cannot be certain that upon inspection by a regulatory authority in the future, such regulatory authority will determine that any of our clinical trials comply with GCP requirements.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third-party service providers cannot adequately and timely fulfill their obligations to us for any reason, or if the quality and accuracy of our clinical trial data is compromised due to failure by a third party service provider to adhere to our protocols or regulatory requirements or if a third party service provider otherwise fails to meet deadlines, our development plans and/or regulatory reviews for marketing approvals may be delayed or terminated. As a result, our business, prospects, operating results and financial condition would be harmed, and our stock price would likely be negatively impacted.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Operations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development, medical and commercial staff, consultants and advisors, our ability to implement our business plan may be adversely affected.</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sales and medical staff. The loss of the services of any members of our senior management could significantly delay or prevent the achievement of product development and commercialization, and other business objectives, and adversely impact our stock price. Our employment arrangements with our key personnel are terminable without notice. We do not carry key person life insurance on any of our employees.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We have grown our workforce significantly over the past several years and anticipate additional employee growth in the future, and we face intense competition for qualified individuals from numerous pharmaceutical and biotechnology companies, universities, governmental entities and other research institutions, many of which have substantially greater resources to attract and reward qualified individuals than we do. If we are not able to attract and retain highly qualified sales and marketing, research, development, and other professionals, it would negatively impact our ability to commercialize our approved products and any future products and to support our growing research and development and global commercialization efforts and initiatives, which would have an adverse effect on our ability to implement our future business plans and to achieve the goals of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continuing to expand our global operations successfully at the scale necessary to support our Alnylam 2030 ambitions.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we continue the commercial launches of our approved products, including the ongoing launch of AMVUTTRA in ATTR-CM, and increase the number of product candidates we are developing, we will need to continue to expand our operations in the U.S. and further develop our operations in the EU and other geographies, including Asia and Latin America. To date, we have received regulatory approval for four products, which we have launched in multiple geographies globally, and we continue to expand the reach of these products with additional regulatory filings and launches.</w:t>
      </w:r>
    </w:p>
    <w:p>
      <w:pPr>
        <w:spacing w:after="0" w:line="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grown our workforce significantly over the last several years and anticipate additional employee growth globally in the future as we focus on the commercialization of our approved products. This growth has placed a strain on our administrative and operational infrastructure and, as a result, we will need to continue to develop additional and/or new infrastructure and capabilities to support our growth and obtain additional space to conduct our global operations in the U.S., EU, Japan, Latin America and other geographies. If we are unable to develop such additional infrastructure or obtain sufficient space to accommodate our growth in a timely manner and on commercially reasonable terms, our business could be negatively impacted. As we continue the commercialization of our approved products, and as the product candidates we develop enter and advance through clinical trials, we will need to continue to expand our global development, regulatory, manufacturing, quality, compliance, and marketing and sales capabilities, or contract with third parties to provide these capabilities for us. In addition, as our operations continue to expand, we will need to successfully manage additional relationships with various collaborators, suppliers, distributors and other organizations. Our ability to manage our operations and future growth will require us to continue to enhance our operational, financial and management controls and systems, reporting systems and infrastructure, ethics and compliance functions, and policies and procedures. We may not be able to implement enhancements to our management information and control systems in an efficient or timely manner and may discover deficiencies in existing systems and controls.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presents risks and challenges.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use social media to communicate about our products and product candidates and the diseases our investigational RNAi therapeutics are being developed to treat, including in connection with our commercialization efforts for our approved products. We intend to do the same for our future products, if approved. While we believe our social media use is appropriate under current regulatory guidance,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or deceptive marketing or other prohibited activities. For example, for our clinical-stage product candidates, patients may use social media channels to comment on their experience in an ongoing blinded clinical trial or to report an alleged adverse event, or AE. When such disclosures occur, there is a risk that trial enrollment may be adversely impacted, that we may fail to monitor and comply with applicable AE reporting obligations or that we may not be able to defend our business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online platform, including a blog on the internet, or a post on a website, that can be distributed rapidly and could negatively harm our reputation. If any of these events were to occur or if we otherwise fail to comply with applicable regulations, we could face regulatory actions or incur liability or other harm to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system failures or unauthorized or inappropriate use of or access to our systems.</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increasingly dependent on our information technology systems and infrastructure, and those of our contractors, consultants and collaborators, for our business. We collect, store and transmit sensitive information including intellectual property, proprietary business information, including highly sensitive clinical trial data, and personal information in connection with our business operations. The secure maintenance of this information is critical to our operations and business strategy. Some of this information could be subject to information breaches, unauthorized access, human error, computer viruses, denial-of-service attacks, malicious code, spam attacks, phishing, ransomware or other forms of social engineering, third-party or employee theft or misuse, negligent actions and other events that could impact the security, reliability, confidentiality, integrity and availability of our systems, including by third parties with a wide range of motives and expertise, including organized criminal groups, nation-states, “hacktivists,” patient groups, rogue current or former employees and others. Cyber-attacks can be designed to collect sensitive or proprietary information, manipulate, destroy or corrupt data, systems or applications, or accounts, to steal money or extort money through the use of so-called “ransomware,” and to disable the functioning or use of applications or technology assets. Cyber-attacks are of ever-increasing levels of sophistication, and despite our security measures and those of our contractors, consultants and collaborators, our respective information technology and infrastructure may be vulnerable to such attacks or may be breached, including due to employee error or malfeasance. Any such incidents could compromise our networks and the information stored there could be accessed, misused, publicly disclosed, lost, stolen or rendered, permanently or temporarily, inaccessible. The risk of cyber-attacks is increased with employees working remotely, as remote work increases our vulnerability to cybersecurity-related events such as phishing attacks and other security threats. Cybersecurity requires ongoing investment and diligence against evolving threats and is subject to federal and state regulation relating to the protection of confidential information. We may be required to expend significant additional resources to modify our protective measures, to investigate and remediate vulnerabilities or other exposures, to make required notifications, to restore our systems and fully recover from a cyber-attack, or to update our technologies and digital properties to comply with industry and regulatory standards, but we may not have adequate personnel, financial or other resources to fully meet these threats and evolving standards. We will also be required to effectively and efficiently govern, manage and ensure timely enhancements to our systems, including in their design, architecture and interconnections as well as their organizational and technical protections.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pervasiveness of cybersecurity incidents in general and the risks of cyber-crime are complex and continue to evolve. Although we are making significant efforts to maintain the security and integrity of our information systems and are exploring various measures to manage the risk of a security breach or disruption, there can be no assurance that our security efforts and measures will be effective or that attempted security breaches or disruptions would not be successful or damaging. Despite the implementation of security measures, our internal computer systems and those of our contractors, consultants and collaborators are vulnerable to damage or interruption from computer viruses, unauthorized or inappropriate access or use, natural disasters, pandemics or public health emergencies, terrorism, war (including the ongoing conflict in Ukraine), and telecommunication and electrical failures. Such events could cause interruption of our operations. For example, the loss of preclinical trial data, data from completed or ongoing clinical trials for our product candidates, or manufacturing data could result in delays in our regulatory filings and development efforts, as well as delays in the commercialization of our products, and significantly increase our costs. To the extent that any disruption, security breach or unauthorized or inappropriate use or access to our systems were to result in a loss of or damage to our data, or inappropriate disclosure of confidential or proprietary information, including but not limited to patient, employee or vendor information, we could incur notification obligations to affected individuals and government agencies, face potential lawsuits from patients, collaborators, employees, stockholders or other third parties, and incur liability under foreign, federal and state laws that protect the privacy and security of personal information, and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potential commercialization of our products and product candidates could be delayed. Such events may ultimately result in financial losses that are either not insured or are not fully covered through any insurance we maintain.</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increased use of cloud technologies heightens these third party risks, and any failure by cloud or other technology service providers to adequately safeguard their systems and prevent cyber-attacks could disrupt our operations and result in misappropriation, corruption, or loss of confidential or proprietary information. Although we require certain third party service providers to maintain certain minimum security levels and adopt certain security procedures by policy, we cannot ensure the universal or consistent compliance with these policies across our service providers, or that our policies and procedures will be adequate to address the evolving threat environment and identify and provide controls for all of the risks in a particular service provider’s environment.</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current and any future use of artificial intelligence and machine learning may not be successful and introduces emerging risks and challenges to our business.</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implemented certain artificial intelligence, or AI, technologies into various aspects of our operations, and we may further expand our use of AI to improve productivity as the technology continues to evolve. Although we have implemented and continue to evaluate appropriate controls to ensure output quality, the use, development, and integration of AI and machine learning technologies present risks and challenges that could materially and adversely affect our business, financial condition, and results of operations.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AI algorithms may be flawed, datasets may be insufficient or biased, and ineffective AI development or deployment could lead to compliance violations, cybersecurity risks, breaches of confidentiality and privacy obligations, noncompliance with applicable laws and regulations, threats to intellectual property rights, and the misuse of personally identifiable information, including protected health information. AI and machine learning technologies may also contribute to novel and urgent cybersecurity risks, including through the use by third parties of such technologies to launch more automated, targeted, and coordinated attacks.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the regulatory framework for AI and machine learning technologies is rapidly evolving, and it is possible that new laws and regulations will be adopted, or that existing laws and regulations may be interpreted in ways that would affect our business. Several jurisdictions, including Europe and the U.S., have proposed or enacted laws governing AI, and we may be required to commit significant resources to modify and maintain business practices to comply with any applicable regulations concerning the use of AI, the nature of which cannot be determined at this time.</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Developing, testing, and deploying AI systems may increase our operating costs due to the nature of the computing costs involved in such systems. Our efforts to develop, acquire, or integrate these technologies may involve significant time, costs, and other resources, and may divert our executive leadership team’s attention and focus from executing on other elements of our strategy. We may also face increased competition from other companies that are using AI, some of which may develop more effective methods to deploy these technologies than we or any of our business partners have, which could impair our ability to compete effectively.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 and the Commercialization of Our Approved Products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 we or our collaborators develop may fail in development or experience significant delays.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business depends upon the successful development and commercialization of our product candidates. These product candidates are in various stages of development and must satisfy rigorous standards of safety and efficacy before they can be approved for sale by the FDA or foreign regulatory authorities. Nonclinical and clinical testing is expensive, difficult to design and implement, can take many years to complete, is uncertain as to outcome, and the historical failure rate for product candidates is high. It is impossible to predict when or if any of our product candidates will prove effective and safe in humans or will receive regulatory approval. Failure to advance our product candidates through clinical development could impair our ability to ultimately commercialize products, which could materially harm our business and long-term prospects.</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and earlier results, both nonclinical and clinical, may not be indicative of future clinical trial results. Many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prospects, operating results and financial condition. Moreover, clinical data are often susceptible to varying interpretations, and many companies that have believed their product candidates performed satisfactorily in clinical trials have nonetheless failed to obtain marketing approval of their product candidate. Moreover, certain of our product candidates employ novel delivery technologies that have yet to be extensively evaluated in human clinical trials and proven safe and effective.</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from time to time, we report interim, topline, and preliminary data from our clinical trials, which is based on a preliminary analysis of then-available data, and the results and related findings and conclusions are subject to change. Interim or preliminary data from a clinical trial may not be predictive of final results from the clinical trial and are subject to the risk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that one or more of the clinical outcomes may materially change as patient enrollment and treatment continues and more patient data become available or as patients from our clinical trials continue other treatments for their disease. Topline data also remain subject to audit and verification procedures that may result in the final data being materially different from the preliminary data we previously published. As a result, topline data should be viewed with caution until the final data are available.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Additionally, several of our planned and ongoing clinical trials utilize an “open-label” trial design. In an “open-label” clinical trial, both the patient and investigator know whether the patient is receiving the investigational product candidate or, if the trial includes multiple arms,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Accordingly,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blinded, controlled environment with a placebo or active control.</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operational challenges, site implementation challenges, biostatistical plans and failure to demonstrate favorable safety or efficacy traits.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product candidates experience any such problems, we may not have the financial resources necessary to continue development of the affected product candidate or any of our other product candidates. We may also lose, or be unable to enter into, collaborative arrangements for the affected product candidate or any of our other product candidates.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of one or more of our clinical trials can occur at any stage of testing. We may experience numerous unforeseen events during, or as a result of, nonclinical testing and the clinical trial process that could extend our clinical development timelines and delay or prevent regulatory approval or our ability to commercialize our product candidates, including:</w:t>
      </w:r>
    </w:p>
    <w:p>
      <w:pPr>
        <w:spacing w:after="0" w:line="61"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nonclinical tests or clinical trials may produce negative or inconclusive results, and we may decide, or regulators may require us, to conduct additional nonclinical testing or clinical trials, or we may abandon projects that have the potential to be promising;</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IND applications or comparable foreign applications or delays or failure in obtaining the necessary approvals from regulators or institutional review boards/ethics committees in order to commence a clinical trial at a prospective trial site, or their suspension or termination of a clinical trial once commenced;</w:t>
      </w:r>
    </w:p>
    <w:p>
      <w:pPr>
        <w:spacing w:after="0" w:line="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an institutional review board or ethics committee, or the FDA or comparable foreign regulatory authorities regarding the scope or design of our clinical trials;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 engaging institutional review boards or ethics committees to oversee clinical trials or problems in obtaining or maintaining institutional review board or ethics committee approval of clinical trials;</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and volunteers into clinical trials, and variability in the number and types of patients and volunteers available for clinical trials, including as a result of the availability of existing approved therapies for the indication for which the clinical trial is testing our product candidate;</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pandemics, epidemics or public health emergencies or other business interruptions;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for patients and volunteers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materials or other materials necessary for the conduct of our clinical trials or disruption or delays in clinical supply due to a future pandemic or public health emergency;</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patients taking our approved products, participants in our clinical trials or individuals using drugs similar to our products or product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disappointing effectiveness of our product candidates during clinical trials;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clinical hold by regulatory authorities as a result of a serious adverse event or manufacturing concerns or after an inspection of our clinical trial operations or trial sites;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 or records of any clinical or nonclinical investigation;</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including GLP, GCP and cGMP,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660" w:right="20" w:hanging="328"/>
        <w:spacing w:after="0" w:line="296"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or regulatory delays, including as a result of a government shutdown, and changes in regulatory requirements, policy and guidelines, including the imposition of additional regulatory oversight around clinical testing generally or with respect to our technology in particular;</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trial design;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data by the FDA or foreign regulatory authorities that differ from ours;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revenue potential of the applicable program due to competition.</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Clinical trials must be conducted in accordance with the legal requirements, regulations or guidelines of the FDA and regulatory authorities outside the U.S. We could encounter delays if a clinical trial is suspended or terminated by us, by the FDA or any other regulatory authority, or if the institutional review boards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in enrolling patients could delay or prevent clinical trials of our product candidates, and ultimately delay or prevent regulatory approval.</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including patients who are suffering from the disease the product candidate is intended to treat and who meet other eligibility criteria. Our ability to enroll patients in our clinical trials in sufficient numbers and on a timely basis is subject to a number of factors. Clinical trials are expensive and require significant operational resources. Delays in patient enrollment or unforeseen drop-out rates may result in increased costs and longer development times.</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Patient enrollment is affected by many factors, including the size of the patient population, the age and condition of the patients, the stage and severity of disease, the availability of clinical trials for other investigational drugs for the same disease or condition, the nature of the protocol, the proximity of patients to clinical sites, the availability of effective treatments for the relevant disease, the eligibility criteria for the clinical trial, the risk that patients enrolled in clinical trials will drop out of the clinical trials before clinical trial completion, and factors we may not be able to control, such as potential pandemics. We or our collaborators may experience difficulty enrolling our clinical trials due to the availability of existing approved treatments, as well as other investigational treatments in development. For example, we may experience delays in recruiting and enrolling patients, and in particular treatment-naive patients, for our Phase 3 clinical trial of nucresiran for the treatment of ATTR-CM because there are multiple approved therapies on the market and multiple investigational therapies in ongoing clinical trials for ATTR-CM. Delays or difficulties in patient enrollment, or difficulties retaining trial participants, including as a result of the availability of existing approved treatments or other investigational treatments, safety concerns, or the impact of pandemics or other public health emergencies, can result in increased costs, longer development times or termination of a clinical trial, as well as lead us to fail to achieve our intended development timing, including as reflected in our </w:t>
      </w:r>
      <w:r>
        <w:rPr>
          <w:rFonts w:ascii="Times New Roman" w:cs="Times New Roman" w:eastAsia="Times New Roman" w:hAnsi="Times New Roman"/>
          <w:sz w:val="18"/>
          <w:szCs w:val="18"/>
          <w:i w:val="1"/>
          <w:iCs w:val="1"/>
          <w:color w:val="auto"/>
        </w:rPr>
        <w:t>Alnylam 2030</w:t>
      </w:r>
      <w:r>
        <w:rPr>
          <w:rFonts w:ascii="Times New Roman" w:cs="Times New Roman" w:eastAsia="Times New Roman" w:hAnsi="Times New Roman"/>
          <w:sz w:val="18"/>
          <w:szCs w:val="18"/>
          <w:color w:val="auto"/>
        </w:rPr>
        <w:t xml:space="preserve"> strategy.</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products or product candidates causes undesirable side effects or has other unexpected adverse properties, such side effects or properties could delay or prevent regulatory approval, limit the commercial potential or result in significant negative consequences following any potential regulatory approval.</w:t>
      </w:r>
    </w:p>
    <w:p>
      <w:pPr>
        <w:spacing w:after="0" w:line="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can be no assurance that our products or product candidates will not cause undesirable side effects. For example, results of our clinical trials could reveal a high and unacceptable severity and prevalence of side effects or unexpected characteristics. If any product candidates we develop are associated with unacceptable side effects or deaths, we may need to abandon the development of such product candidates or limit development to certain uses or subpopulations in which the unacceptable side effects or other characteristics are less prevalent, less severe or more acceptable from a risk-benefit perspective, any of which would have a material adverse effect on our business, financial condition, results of operations and prospects. Furthermore, the occurrence of such adverse events could result in the suspension or termination of clinical trials of a product candidate by us, our collaborators, institutional review boards or ethics committees, or the FDA or a foreign regulatory authority, and may negatively impact the clinical and/or regulatory timelines of the impacted product candidates. For example,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Phase 1 clinical trial of mivelsiran for Alzheimer’s Disease remains on partial clinical hold for certain dosing levels or frequencies in the U.S. due to findings observed in non-clinical chronic toxicology studies. While our clinical development of mivelsiran has not been impacted by the partial clinical hold because of the dose levels at which it applies, it is possible that the partial clinical hold could have an impact if our development plans change or that future partial or full clinical holds on mivelsiran or our other product candidates could impact our ability to advance the clinical development of such product candidate on our expected timelines or at all.</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occurrence of serious adverse events could also result in refusal by the FDA or a foreign regulatory authority to approve a particular product candidate for any or all indications of use, or in limitations in the label of any approved product. Even if we are able to demonstrate that any future serious adverse events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product candidate,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be unable to obtain U.S. or foreign regulatory approval for our or our product candidates and, as a result, we or our collaborators may be unable to commercialize such product candidates.</w:t>
      </w:r>
    </w:p>
    <w:p>
      <w:pPr>
        <w:spacing w:after="0" w:line="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Any product candidates we or our collaborators develop are subject to extensive governmental regulations relating to, among other things, research, testing, development, manufacturing, safety, efficacy, approval, recordkeeping, reporting, labeling, storage, pricing, advertising, promotion and distribution of drugs. Failure to obtain marketing approval for a product candidate we may develop will prevent us from commercializing the product candidate in a given jurisdiction.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authorities. Satisfaction of these and other regulatory requirements is costly, time consuming, uncertain and subject to unanticipated delays. It is possible that the product candidates we and our collaborators are developing will not obtain the regulatory approvals necessary for us or our collaborators to begin commercialization, or that approved products, including AMVUTTRA, will not obtain regulatory approval to be sold for an additional, broader indication than the indication for which it is currently approved. For example, although AMVUTTRA has been approved by the FDA, EC, PMDA, MHRA and certain other regulatory authorities for the treatment of ATTR-CM, regulatory authorities in other jurisdictions have not yet granted approval for this expanded indication. It is also possible that the FDA or other regulatory authorities may determine that the data generated in clinical trials for a product candidate is not sufficient to support the approval of an application for regulatory approval. For example, although we reported positive results from the APOLLO-B Phase 3 clinical trial of patisiran in patients with ATTR-CM, in October 2023, the FDA issued a CRL in response to our sNDA for patisiran, indicating the sNDA could not be approved in its present form.</w:t>
      </w:r>
    </w:p>
    <w:p>
      <w:pPr>
        <w:spacing w:after="0" w:line="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time required to obtain FDA and other regulatory approvals is unpredictable but typically takes many years following the commencement of clinical trials, depending upon the type, complexity and novelty of the product candidate. The standards that the FDA and its foreign counterparts use when regulating us are not always applied in a predictable or uniform manner and can change over time. Any analysis we perform of data from nonclinical and clinical activities is subject to confirmation and interpretation by regulatory authorities, which could delay, limit or prevent regulatory approval. We or our collaborators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there may be approved treatments for some of the diseases for which we or our collaborators may seek approval, or treatments in development which will be approved by the time we or our collaborators file for approval, in order to receive regulatory approval, we or they may need to demonstrate through clinical trials that the product candidates we develop to treat these diseases are not only safe and effective, but safer and/or more effective than other products.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Interruption or delays in the operations of the FDA, EMA and comparable foreign regulatory agencies may impact the review, inspection and approval timelines for our or our collaborated product candidates. We have in the past, and may in the future, experience delays in review, inspection and approval timelines from the FDA, and any similar interruption or delay by the FDA, EMA or other comparable foreign regulatory authorities could have a material adverse effect on our or our collaborators’ efforts to obtain regulatory approval for our or our collaborators’ product candidates, which could have a material adverse effect on our business, prospects, operating results or financial condition.</w:t>
      </w:r>
    </w:p>
    <w:p>
      <w:pPr>
        <w:spacing w:after="0" w:line="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Inadequate funding for the FDA and other government agencies and/or potentially shifting priorities under the current administration could hinder the agencies’ ability to hire and retain key leadership and other personnel, prevent new products and services from being developed and/or commercialized in a timely manner, or otherwise prevent those agencies from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performing normal business functions on which the operation of our business may rely, which could negatively impact our business. The ability of the FDA to review and approve new products, to provide feedback on clinical trials and development programs, to meet with sponsors and to otherwise review regulatory submissions can be affected by a variety of factors, including government budget and funding levels; the ability to hire and retain key personnel and accept the payment of user fees; and statutory, regulatory, and policy changes, among other factors. Average review times at the FDA and foreign regulatory authorities have fluctuated in recent years as a result. In addition, government funding of agencies and programs that provide research funding on which our operations may rely directly or indirectly via third party research and development projects associated with our product development programs, is subject to the political process, which is inherently fluid and unpredictable. The failure for such funding to be furnished or to be furnished in a timely manner could impact our ongoing research and development initiatives.</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funding, personnel, policy or other disruptions at the FDA and other agencies may also delay those agencies’ review and response to our or our collaborators’ regulatory submissions, which would adversely affect our business. For example, over the last several years, the U.S. government has shut down multiple times and certain regulatory agencies, such as the FDA, have had to furlough critical FDA and other government employees and stop critical activities. Additionally, the current U.S. presidential administration has issued certain policies and Executive Orders directed towards reducing the employee headcount and costs associated with administrative agencies, including the FDA, and it remains unclear the degree to which these efforts may limit or otherwise adversely affect the FDA’s ability to conduct routine activities. If a prolonged government shutdown occurs, or if renewed global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spacing w:after="0" w:line="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FDA or foreign regulatory authorities may request additional clinical or other data or information in connection with the regulatory review of our or our collaborators’ product candidates, including by issuing a complete response letter that may require that we or our collaborators submit additional clinical or other data or impose other conditions that must be met in order to secure final approval of our or our collaborators’ NDA applications, including potentially requiring a facility inspection. Even if such data and information are submitted, or any such inspection is completed, the FDA may ultimately decide that the NDA does not satisfy the criteria for approval.</w:t>
      </w:r>
    </w:p>
    <w:p>
      <w:pPr>
        <w:spacing w:after="0" w:line="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seek a Fast Track, Priority Review, or Breakthrough Therapy designation or similar designations outside the U.S. for some of our product candidates. Product candidates that receive one or more of these designations may be eligible for, among other things, a priority regulatory review. Each of these designations is within the discretion of the FDA. Accordingly, even if we believe one of our product candidates meets the criteria for Fast Track, Priority Review, and/or Breakthrough Therapy designation, the FDA or similar regulatory authorities may disagree and instead determine not to make such designation. The receipt of one or more of these designations for a product candidate does not guarantee a faster development process, review or approval compared to products developed or considered for approval under conventional assessment procedures and does not assure ultimate approval by the FDA or similar regulatory authorities. In addition, even if one or more of our products or product candidates qualifies for Fast Track, Priority Review, and/or Breakthrough Therapy designation, the FDA or similar regulatory authorities may later decide to withdraw such designation if it determines that the product or product candidate no longer meets the conditions for qualification.</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delay or failure in obtaining required approvals for our product candidates or our collaborated product candidates could have a material adverse effect on our ability to generate revenues from any product candidate for which we or our collaborators may seek approval in the future. For example, as a result of the CRL from the FDA in response to our sNDA for patisiran as a treatment for ATTR-CM, our ability to generate product revenues for patisiran was negatively impacted.</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Furthermore, even if we or our collaborators receive approval of an NDA or foreign marketing application for a product candidate, the FDA or the applicable foreign regulatory agency may grant approval or other marketing authorization contingent on the performance of costly additional clinical trials, including post-market clinical trials. The FDA or the applicable foreign regulatory agency also may approve or authorize for marketing a product candidate for a more limited indication or patient population than we originally request, and the FDA or applicable foreign regulatory agency may not approve or authorize the labeling that we believe is necessary or desirable for the successful commercialization of a product candidate. Any of these restrictions or commitment could limit an approved product’s market opportunity and have a negative impact on our business, prospects, operating results and financial condition and our stock price.</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FDA has the authority to require a Risk Evaluation and Mitigation Strategy, or REMS, as part of its review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In the EU, we or our collaborators could be required to adopt a similar plan, known as a risk management plan, and our products could be subject to specific risk minimization measures, such as restrictions on prescription and supply, the conduct of post-marketing safety or efficacy studies, or the distribution of patient and/or prescriber educational materials. In either instance, these limitations and restrictions may limit the size of the market for our products and affect reimbursement by third-party payors.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includes all of the risks associated with FDA approval described above as well as risks attributable to the satisfaction of local regulations in foreign jurisdictions. Approval by the FDA does not ensure approval by any regulatory authority outside the U.S. and vice versa.</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marketed products and any product candidates for which we obtain approval are subject to extensive and ongoing regulatory oversight. If we or our collaborators fail to comply with continuing U.S. and foreign requirements, our approvals could be limited or withdrawn, we could be subject to other penalties, and in any such case our business would be seriously harmed.</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six marketed products, including two products that are commercialized by collaborators, and any product candidates for which we or our collaborators may ultimately receive marketing authorization, are subject to ongoing regulatory requirements governing the testing, manufacturing, labeling, packaging, storage, advertising, promotion, sale, distribution, import, export, recordkeeping, and reporting. Ongoing FDA requirements include, among other things, submission of safety and other post-marketing information and reports, registration and listing, continued compliance with GMP requirements relating to manufacturing, quality control, quality assurance and corresponding maintenance of records and documents, requirements regarding the distribution of samples to physicians, and GCP requirements for any clinical trials that we conduct post-approval. In addition, we are conducting, and intend to continue to conduct, clinical trials for our product candidates, and we intend to seek approval to market our product candidates, in jurisdictions outside of the U.S., and therefore will be subject to, and must comply with, regulatory requirements in those jurisdictions.</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products are subject to continuing regulatory oversight following approval, including the review of adverse drug experiences and clinical results that are reported after our drug products are made commercially available. This includes results from any post-marketing tests or surveillance to monitor the safety and efficacy of our approved products or other products required as a condition of approval or otherwise agreed to by us. Products are more widely used by patients once approval has been obtained and therefore side effects and other problems may be observed after approval that were not seen or anticipated, or were not as prevalent or severe, during pre-approval clinical trials or nonclinical studies. The subsequent discovery of previously unknown or underestimated problems with a product could result in:</w:t>
      </w:r>
    </w:p>
    <w:p>
      <w:pPr>
        <w:spacing w:after="0" w:line="7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approved products may be lower than originally anticipated;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for our approved products may be restricted or withdrawn;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be required, to send product warning letters or field alerts to physicians, pharmacists and hospitals;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nonclinical studies or clinical trials, changes in labeling, adoption of a REMS plan, or changes to manufacturing processes, specifications and/or facilities may be required; and/or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lawsuits, including class action and product liability suits, may be brought against us.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above occurrences could reduce or eliminate sales of our approved products, increase our expenses and impair our ability to successfully commercialize one or more of these products.</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CMO and manufacturing facilities we use to make our approved products and certain of our current product candidates, including our Cambridge facility, our Norton facility, as well as facilities at Agilent and other CMOs, will also be subject to periodic review and inspection by the FDA and other regulatory agencies. For example, Agilent and our Cambridge-based facility were subject to regulatory inspection by the FDA and the EMA in connection with the review of our applications for regulatory approval for ONPATTRO and GIVLAARI, and may be subject to similar inspection in connection with any subsequent applications for regulatory approval of one or more of our products filed in other territories. The discovery of any new or previously unknown problems with our or our CMO’s manufacturing processes or facilities, may result in restrictions on the CMO or facility or the products manufactured at such facility, including delay in approval or withdrawal of an approved product from the market. For example, due to a routine inspection by the FDA at a CMO facility that resulted in a pending inspection classification, we amended our regulatory submission for vutrisiran for the treatment of hATTR-PN in adults, which delayed our PDUFA action date and AMVUTTRA’s initial NDA approval with the FDA. We may not have the ability or capacity to manufacture material at a broader commercial scale in the future. We may manufacture clinical trial materials, or we may contract a third party to manufacture this material for us. Reliance on CMOs entails risks to which we would not be subject if we manufactured products ourselves, including reliance on the applicable CMO for regulatory compliance.</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or our collaborators, CMOs or service providers fail to comply with applicable continuing regulatory requirements in the U.S. or a foreign jurisdiction in which we seek to market our products, we or they may be subject to, among other things, fines, warning or untitled letters, holds on clinical trials, refusal by the FDA or foreign regulatory authorities to approve pending applications or supplements to approved applications, suspension or withdrawal of regulatory approval, product recalls and seizures, refusal to permit the import or export of products, operating restrictions, fines, injunctions, civil penalties and criminal prosecution.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approved products and any product candidates we may develop and adversely affect our business, financial condition, results of operations and prospects.</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liability if enforcement authorities allege or determine that we are engaging in commercial activities with respect to our unapproved product candidates or promoting our commercially approved products in a way that violates applicable regulations.</w:t>
      </w:r>
    </w:p>
    <w:p>
      <w:pPr>
        <w:spacing w:after="0" w:line="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and other regulatory agencies closely regulate the post-approval marketing and promotion of products to ensure that they are marketed only for the approved indications and in accordance with the provisions of the approved labeling. Although physicians are generally permitted, based on their medical judgment, to prescribe products for indications other than those approved by the applicable regulatory agency, manufacturers are prohibited from promoting their products for such off-label uses. If a regulatory agency determines that our promotional materials, or other activities constitute off-label promotion, it could request that we modify our promotional materials or other activities, conduct corrective advertising, or subject us to regulatory enforcement actions, such as the issuance of a warning or untitled letter, injunction, seizure, civil fines and criminal penalties. It also is possible that other federal, state, or foreign enforcement authorities might take action if they believe that the alleged improper promotion led to the submission and payment of claims for an off-label use, which could result in significant fines or penalties under other statutory authorities, such as laws prohibiting false claims for reimbursement. Even if it is later determined we were not in violation of these laws, we may be faced with negative publicity, incur significant expenses defending our actions, and have to divert significant management resources from other matters.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receive regulatory approval to market our product candidates, the market may not be receptive to our product candidates upon their commercial introduction, which could adversely affect our business, prospects, operating results and financial condition.</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may be difficult for us to convince patients, the medical community and third-party payors to accept and use our products, or to provide favorable reimbursement.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we believe will materially affect market acceptance of our products include:</w:t>
      </w:r>
    </w:p>
    <w:p>
      <w:pPr>
        <w:spacing w:after="0" w:line="11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approvals, the terms of any approvals and the countries in which approvals are obtained;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as demonstrated in clinical trials and as compared with alternative treatments, if any;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dosing regimen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potentially new routes of administration or new or different therapeutic approaches and mechanisms of action;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private third-party payor coverage and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co-pay or other cost-sharing obligations for patients;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 the market perception of such prices and any price increase that we may implement in the future; and</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diseases that our product candidates we develop are intended to treat and the relative risks, benefits and costs of those treatments.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example, AMVUTTRA is administered through a subcutaneous injection and may not compete favorably with other available options for the treatment of ATTR-CM, including VYNDAQEL/VYNDAMAX, which is marketed by Pfizer and administered in pill form, and ATTRUBY, which is marketed by BridgeBio and administered in pill form, or other available options for the treatment of hATTR-PN in adults, including WAINUA, which is marketed by AstraZeneca and Ionis, and administered subcutaneously, or VYNDAQEL/VYNDAMAX, which is marketed by Pfizer in several countries and administered in pill form. In addition, Qfitlia represents a new approach to treating hemophilia, which may not be readily accepted by physicians and patients and their caregivers.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multi-product commercial company and expect to continue to invest significant financial and management resources to continue to build our marketing, sales, market access and distribution capabilities and further establish our global infrastructure. If we are not able to continue to develop and scale these capabilities, we may not be able to successfully commercialize our products and product candidates.</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received our first product approval in August 2018 and have built substantial marketing, sales, market access and distribution capabilities over the past several years. We currently expect to rely on third parties to launch and market certain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product candidates in certain geographies, if approved. However, we are commercializing AMVUTTRA, ONPATTRO, GIVLAARI and OXLUMO, and intend to commercialize additional product candidates, if approved, on our own in major markets globally. Accordingly, we have established internal marketing, sales, market access and distribution capabilities across the U.S., Europe and Japan, which has required, and will continue to require, significant financial and management resources. For those products for which we will perform marketing, sales, market access and distribution functions ourselves we could face a number of additional risks, including:</w:t>
      </w:r>
    </w:p>
    <w:p>
      <w:pPr>
        <w:spacing w:after="0" w:line="8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and retaining our global sales, marketing and administrative infrastructure and capabilities;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managing and supervising our personnel worldwide;</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further developing, or leveraging an established, marketing or sales force, which may not be justifiable in light of the revenues generated by any particular product and/or in any specific geographic region;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sales and marketing efforts may not be successful, or may be limited by future government policies or initiatives.</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the FDA may implement regulatory, policy, or enforcement changes that materially limit our ability and that of our third-party contractors to promote our products to consumers, which could materially impact our business. In September 2025, FDA stated that it intends to more aggressively enforce requirements for direct-to-consumer, or DTC, drug advertising and sent more than 100 warning or untitled letters to companies for allegedly deceptive prescription drug advertising, which represents a dramatic increase in such actions as compared to prior years. FDA also announced plans to expand its oversight of digital and social media advertising and to initiate a rulemaking that would call for drug companies to disclose additional safety information in DTC broadcast advertisements. The nature and extent of changes to FDA’s regulations and enforcement approach is unclear but may impact pharmaceutical marketing efforts across the industry, including ours, which could in turn impact our sales and operations. In connection with these FDA developments, we received an untitled letter in September 2025 from the FDA’s Center for Drug Evaluation and Research asserting that a particular DTC television advertisement for AMVUTTRA was false and misleading. We responded to the untitled letter and subsequently received a close-out letter from the FDA in November 2025. On April 23, 2026, we received an untitled letter from the FDA asserting that certain content on our consumer-facing website for AMVUTTRA is false and misleading. We intend to respond to FDA within the requested timeframe.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continue to develop and scale our own global marketing, sales, market access and distribution capabilities for our current and any future products, we will not be able to successfully commercialize our products without reliance on third parties.</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patient populations suffering from ATTR-CM, hATTR-PN, AHP and PH1 have not been established with precision. If the actual number of patients suffering from these diseases is smaller than we estimate, or if we fail to raise awareness of these diseases and diagnosis is not improved, our business, prospects, operating results and financial condition may be adversely affected.</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estimates regarding the potential market size for AMVUTTRA, ONPATTRO, GIVLAARI, OXLUMO or any future products that we may commercialize, may be materially different from the actual market size, including as a result of the indication approved by regulatory authorities, which could result in significant changes in our business plan and may have a material adverse effect on our business, prospects, operating results and financial condition. For example, our growth expectations for AMVUTTRA assume significant continued overall market growth for the TTR category. If we are unable to accurately estimate the number of patients suffering from a disease for which we successfully commercialize a product or we and other market participants are not able to raise awareness of these diseases and continue to improve diagnosis, it could have a material adverse effect on our business, prospects, operating results or financial condition.</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products we currently market or may develop in the future may become subject to unfavorable pricing regulations or healthcare reform initiatives, thereby harming our business, prospects, operating results and financial condition.</w:t>
      </w:r>
    </w:p>
    <w:p>
      <w:pPr>
        <w:spacing w:after="0" w:line="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regulations that govern marketing approvals, coverage, pricing and reimbursement for new drugs vary widely from country to country and are subject to change. Some countries require approval of the sale price of a drug before it can be marketed. In many countries, the pricing review period begins after marketing authorization or product licensing approval is granted. In some foreign markets, prescription pharmaceutical pricing remains subject to continuing governmental control even after initial approval is granted. It is also possible to obtain regulatory approval for a product in a particular country, but then be subject to price regulations or price controls that delay our commercial launch of the product and/or negatively impact the revenues we are able to generate from the sale of the product in that country and potentially in other countries due to reference pricing.</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efforts of governments and third-party payors to contain or reduce the cost of healthcare and broaden the availability of healthcare will continue to affect the business and financial condition of pharmaceutical and biopharmaceutical companies.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U.S., the cost of healthcare generally and pharmaceuticals specifically have been subject to government and public scrutiny and calls for reform and the U.S. federal government continues to propose and implement significant and wide-ranging executive, legislative and regulatory reforms designed to control costs and reexamine drug pricing and payment models. Drug pricing and reimbursement reform have been a particular area of focus. At the federal level, for example, the Inflation Reduction Act of 2022, or IRA, includes a number of changes intended to address rising prescription drug prices in Medicare Parts B and D such as a new Medicare Part D benefit design and caps on Medicare Part D out-of-pocket costs, Medicare Part B and Part D drug price inflation rebates, a new Medicare Part D manufacturer discount drug program (replacing the previous coverage gap discount program) and a drug price negotiation program for certain high-spend Medicare Part B and D drugs. The IRA has affected and will continue to affect our business. The IRA may require us to pay rebates if we increase the net cost of a Medicare Part B or Part D drug faster than the rate of inflation. In addition, our cost-sharing responsibility for any approved product covered by Medicare Part D could be significantly greater under the IRA Medicare Part D benefit structure compared to the pre-IRA benefit design. Manufacturers that fail to comply with the IRA may be subject to various penalties, including civil monetary penalties or a potential excise tax. The effect of the IRA on our business and the healthcare industry in general continues to evolve and we may continue to discover additional adverse impacts on our company or our industry. Beyond the IRA, changes to Medicaid effective in 2024 eliminated the Medicaid rebate cap and changes to certain Medicare price reporting requirements for drugs beginning in 2026 will likely increase the administrative and compliance burden for manufacturers.</w:t>
      </w:r>
    </w:p>
    <w:p>
      <w:pPr>
        <w:spacing w:after="0" w:line="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current presidential administration, there has been significant reform activity focused on drug pricing and reimbursement.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future website sponsored by the federal government that is anticipated to offer pharmaceutical direct-to-consumer channels has also been announced. Federal agencies are developing new drug pricing pilot programs, such as the GENEROUS model which would authorize the federal government to negotiate Medicaid supplemental rebates with participating manufacturers on behalf of state Medicaid programs, in exchange for standardized coverage criteria for participating manufacturer drugs, and proposed Medicare Part B (GLOBE model) and Part D (GUARD model) pilot models that, if finalized as proposed, would supplement existing inflation-based Medicare rebates with rebates determined on the basis of international prices, for drugs and patients subject to the model.</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healthcare reform efforts or actions may affect access to healthcare coverage or the funding of health care benefits, although the full impact of such efforts or actions cannot be predicted. For example,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There is uncertainty regarding the nature or impact of any pharmaceutical or broader federal healthcare reform proposed or implemented by the current presidential administration through executive or administrative action or by Congress, and the extent to which any such action will be subject to litigation or other challenges. It is unclear how any such healthcare reform measures will impact our business. Healthcare reforms and action taken by the healthcare industry in response could adversely affect reimbursement, competitive dynamics, and our business. We continue to monitor reform efforts and assess their potential impact on our operations, but we cannot predict their ultimate effect on our business.</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At the state level, governments have become increasingly implementing regulations designed to control pharmaceutical product pricing. Some of these measures include upper payment limits on state-regulated payers; regulating product access, copayment assistance, and marketing; imposing drug price, cost, and marketing disclosure and transparency requirements; permitting importation from other countries; and encouraging bulk purchasing. For example, on January 5, 2024, the FDA authorized Florida’s Agency for Health Care Administration’s drug importation proposal, the first step toward Florida facilitating importation of certain prescription drugs from Canada. States are also increasingly expanding or changing Medicaid supplemental rebate programs to secure additional rebates from manufacturers in exchange for drug coverage. These and other future state-level reform activities could negatively affect Medicaid coverage and reimbursement for our products. We cannot predict how further developments of, or changes to, these laws and policies will affect our business.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local governments and private purchasers, such as hospitals or health systems, are increasingly using bidding procedures to determine what pharmaceutical products and which suppliers will be included in their prescription drug and other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purchasing programs. These measures could reduce the demand for our products, once approved, or put pressure on our product pricing.</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other broader legislative changes have been adopted that could have an adverse effect upon, and could prevent, our products’ commercial success. For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nature and extent of future healthcare or budget reforms cannot be predicted. Although further reform efforts are likely, here is significant uncertainty regarding the nature or impact of any drug pricing or broader healthcare reform implemented at the federal or state level and the extent to which such action may be subject to litigation or other challenges. Ongoing efforts to contain or reduce costs of healthcare and/or impose price controls may adversely affect the demand for our products and our ability to achieve our Alnylam 2030 strategy and maintain profitability.</w:t>
      </w:r>
    </w:p>
    <w:p>
      <w:pPr>
        <w:spacing w:after="0" w:line="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maintain coverage and adequate reimbursement from third-party payors for AMVUTTRA or our other products, the commercial success of these products may be severely hindered.</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Successful commercialization of AMVUTTRA and our other products will depend in part on the extent to which coverage and adequate reimbursement are available from third-party payors, including governmental healthcare programs such as Medicare and Medicaid, commercial health insurers and managed care organizations, and whether and how quickly we can obtain such coverage and reimbursement. Third-party payors determine which medications they will cover and establish reimbursement levels. Reimbursement decisions by third-party payors depend upon a number of factors, including, among other things, each third-party payor’s determination that use of a product is:</w:t>
      </w:r>
    </w:p>
    <w:p>
      <w:pPr>
        <w:spacing w:after="0" w:line="6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a health plan;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clinically superior or therapeutically advantageous to other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Obtaining coverage and reimbursement approval from third-party payors is often a time consuming and costly process that could require us to provide supporting scientific, clinical and cost-effectiveness data, including results from pharmacoeconomic studies, to each third-party payor. No uniform policy for coverage and reimbursement for products exists among third-party payors in the U.S. and coverage and reimbursement for products can differ significantly from payor to payor. There could be significant delays in obtaining coverage and there is no guarantee that we will be able to provide data sufficient to gain acceptance with respect to coverage and reimbursement, and any coverage we do obtain could be more limited than the purposes for which the product is approved by the FDA or foreign regulatory authorities. Furthermore, rules and regulations regarding reimbursement change frequently, in some cases on short notice, and we believe that further changes in these rules and regulations are likely.</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containment is a primary concern of the U.S. healthcare industry and elsewhere as well as for governmental authorities. Third-party payors are increasingly attempting to contain healthcare costs by limiting both coverage and the level of reimbursement for medical products and services. Third-party payors may deny reimbursement for covered products if they determine that a medical product was not used in accordance with third-party payor coverage policies, such as required procedures for cost-effective diagnosis methods, and may establish other conditions that must be met before the third-party payor will provide coverage for use of AMVUTTRA or one of our other products. For example, insurers may establish a “step-edit” system that requires a patient to first use a lower price alternative product prior to becoming eligible for reimbursement of a higher price product. Third-party payors also may refuse to reimburse for products deemed to be experimental, or that are prescribed for an unapproved indication. It is also possible that a third-party payor may consider AMVUTTRA or our other products as substitutable by less expensive therapies and only offer to reimburse patients for the less expensive product. Even if we show improved efficacy or improved convenience of administration with our products, pricing of existing drugs may limit the amount that can be charged for our products. Interim payments for new products, if applicable, may also not be sufficient to cover our costs and may not be made permanent. Payors may also deny or revoke coverage for a given product or establish</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prices for new or existing marketed products at levels that are too low to enable us to realize an appropriate return on our investment in product development. Further, third-party payors may limit coverage to specific products on an approved list, or formulary, which might not include all of the FDA-approved products for a particular indication, and it is possible that AMVUTTRA or our other products will not be included on the formularies of certain third-party payors.</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some third-party payors challenge the prices charged for medical products and may impose price controls or require that we provide them with predetermined discounts from list prices. In the U.S., we have entered into value-based agreements, or VBAs, and are negotiating additional VBAs with commercial health insurers. The goal of these agreements is to ensure that we are paid based on the ability of our commercially approved products to deliver results in the real-world setting comparable to those demonstrated in our clinical trials, and the agreements are structured to link the performance of our approved products in real-world use to financial terms. Partnering with payors on these agreements is also intended to provide more confidence regarding the value of our products and help accelerate coverage decisions for patients. If the payment we receive for our products, or the reimbursement provided for such products, is inadequate in light of our significant development and other costs, or if reimbursement is denied, our return on investment could be adversely affected. In addition, we have stated publicly that we intend to grow through continued scientific innovation rather than more substantial price increases. Specifically, we have stated that we will not raise the price of any product for which we receive marketing approval over the rate of inflation, as determined by the consumer price index for urban consumers absent a significant value driver.</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patient access philosophy could also negatively impact the revenues we are able to generate from the sale of one or more of our products in the future. Insurers are increasingly adopting programs and policies that limit access to medications and increase out-of-pocket costs for patients. In the U.S., to help patients access and afford our approved product(s), we may implement patient support programs to assist them, including patient assistance programs (which provide drugs at no cost to eligible patients) and co-pay coupon programs (which cover all or part of an eligible patient’s self-pay obligation). It is possible that changes in insurer policies regarding co-pay coupons (such as co-pay accumulator and maximizer programs) and patient assistance programs (such as alternative funding programs) and/or the introduction and enactment of new legislation or regulatory action could restrict or otherwise negatively affect these co-pay coupon programs and patient assistance programs, which could result in fewer patients using affected products, and therefore could have a material adverse effect on our sales, business, and financial condition.</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 particular, governments in certain markets such as in EU, the U.K., Japan, and China, provide healthcare at low (or zero) direct costs to consumers at the point of care, and thus have significant power as large single payors to regulate prices or impose other cost control mechanisms. In addition, the emphasis on managed care in the U.S. has increased, and we expect will continue to exert downward pressure on pharmaceutical pricing. Coverage policies, third-party reimbursement rates and pharmaceutical pricing regulations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process for determining whether a payor will provide coverage for a product may be separate from the process for setting the price or reimbursement rate that the payor will pay for the product once coverage is approved. Levels of reimbursement may also decrease in the future, and future legislation, regulation or reimbursement policies of third-party payors may adversely affect the reimbursement available for and the pricing for AMVUTTRA or our other products, which in turn, could negatively impact the demand for AMVUTTRA or our other products. If providers are not adequately reimbursed for AMVUTTRA or our other products, they may reduce or discontinue purchases of them, which would have a significant negative impact on our business, prospects, operating results and financial condition.</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Failure to comply with these legal standards could impair our ability to compete in domestic and international markets. We can face criminal liability and other serious consequences for violations, which can harm our business.</w:t>
      </w:r>
    </w:p>
    <w:p>
      <w:pPr>
        <w:spacing w:after="0" w:line="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and anti-corruption laws, including the U.S. Foreign Corrupt Practices Act of 1977, as amended, the U.S. domestic bribery statute contained in 18 U.S.C. § 201, the U.S. Travel Act, the USA PATRIOT Act, the UK Bribery Act 2010, and other applicable anti-bribery and anti-money laundering laws. Anti-corruption laws are interpreted broadly and prohibit companies and their officers, directors, employees, agents, contractors, and other third-party representatives from directly or indirectly authorizing, promising, offering, providing, soliciting, or receiving payments or anything else of value in order to improperly influence the acts or decisions of recipients in the public or private sector or to secure any other improper advantage to obtain or retain business. From time to time, we may engage third parties to conduct clinical trials outside of the U.S., to sell our products abroad,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activities of agents, contractors, and third-party representatives acting on our behalf, even if we do not explicitly authorize or have actual knowledge of such activities. Any violations of the laws and regulations described above may result in substantial fines and penalties, reputational harm, and other adverse consequences.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focused on these laws and the activities they regulate and maintain a global compliance program designed to empower our business to operate in compliance with their requirements.</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U.S. may impose strict price controls or have significant market leverage to negotiate discounted prices, which may adversely affect our revenues.</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pricing of prescription pharmaceuticals is also subject to governmental control outside the U.S. In these countries, pricing negotiations with governmental authorities can take considerable time after the receipt of regulatory approval for a product. To obtain reimbursement or pricing approval in some countries, we may be required to conduct a clinical trial that compares the cost-effectiveness of our product candidates to other available therapies, which is time-consuming and costly. If reimbursement of our products is unavailable or limited in scope or amount, or if pricing is set at unsatisfactory levels, our ability to generate revenues and become profitable could be impaired.</w:t>
      </w:r>
    </w:p>
    <w:p>
      <w:pPr>
        <w:spacing w:after="0" w:line="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some countries, including Member States of the EU, or Japan, the pricing of prescription drugs may be subject to governmental control. Additional countries may adopt similar approaches to the pricing of prescription drugs. In such countries, pricing negotiations with governmental authorities can take considerable time after receipt of regulatory approval for a product. In addition, governments and other stakeholders can put considerable pressure on prices and reimbursement levels, including as part of cost containment measures. Moreover,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We cannot be sure that such prices and reimbursement will be acceptable to us or our collaborators.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our approved products or any future products in those countries would be negatively affected. We could also suffer impact from tightening pricing controls on account of greater competition from less expensive generic or biosimilar products once patent or other exclusivity expires. Certain governments have adopted policies to switch prescribed products to generic versions to reduce costs.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governments in certain markets such as in EU, the U.K., Japan, and China, provide healthcare at low (or zero) direct costs to consumers at the point of care, and thus have significant power as large single payers to regulate prices or impose other cost control mechanisms.</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broad and complex healthcare and other laws, we could face substantial penalties and our business, operations, and financial condition could be adversely affected.</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marketing of our 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In the U.S., these laws include, without limitation, federal and state fraud and abuse laws, transparency laws and patient data privacy and security laws and regulations, including but not limited to the following:</w:t>
      </w:r>
    </w:p>
    <w:p>
      <w:pPr>
        <w:spacing w:after="0" w:line="83" w:lineRule="exact"/>
        <w:rPr>
          <w:sz w:val="20"/>
          <w:szCs w:val="20"/>
          <w:color w:val="auto"/>
        </w:rPr>
      </w:pPr>
    </w:p>
    <w:p>
      <w:pPr>
        <w:jc w:val="both"/>
        <w:ind w:left="660" w:hanging="328"/>
        <w:spacing w:after="0" w:line="24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directly or indirectly, overtly or covertly, in cash or in kind, to induce either the referral of an individual for, or the purchase or ordering of, a good or service for which payment may be made, in whole or in part, under a federal healthcare program, such as the Medicare and Medicaid programs.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federal civil False Claims Act, or FCA, which generally prohibit individuals or entities from knowingly presenting or causing to be presented, claims for payment for good or services by government-funded programs such as Medicare or Medicaid that are false or fraudulent. The FCA can be enforced by private individuals on behalf of the government through civil whistleblower or “qui tam” actions, and such individuals may share in any amounts paid by the entity to the government in fines or settlement. Manufacturers can be held liable under the FCA even when they do not submit claims directly to government payors if they are deemed to “cause” the submission of false or fraudulent claims.</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generally impose civil fines for, among other things, the offering or transfer of remuneration to a Medicare or Medicaid beneficiary if the person knows or should know it is likely to influence the beneficiary’s selection of a particular provider, practitioner, or supplier of services reimbursable by Medicare or Medicaid. Conduct regulated by the federal civil monetary penalties law often overlaps with other healthcare laws, including the federal Anti-Kickback Statute.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and security protections applicable to healthcare providers and other entities, prohibits executing, or attempting to execute, a scheme to defraud any healthcare benefit program, including private programs, and making false statements relating to healthcare matters.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“sunshine” requirements imposed on drug, device, and medical supply manufacturers when payment is available under Medicare, Medicaid or the Children’s Health Insurance Program to report annually to HHS information regarding any “transfer of value” made or distributed to certain healthcare providers and organizations.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among other things, strictly regulates drug product and medical device marketing, prohibits manufacturers from marketing such products prior to approval or for unapproved indications and regulates the distribution of samples.</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subject to state and foreign laws comparable to the above federal laws, including state anti-kickback, anti-bribery and false claims laws, which may apply to healthcare items or services that are reimbursed by non-governmental third-party payors, including private insurers; state laws that require companies to comply with specific compliance standards, restrict financial interactions between companies and healthcare providers, require companies to report information related to payments to healthcare providers, marketing expenditures or pricing or require the licensing or registration of sales representatives; and EU laws prohibiting giving healthcare professionals any gift or benefit in kind as an inducement to prescribe our products and transparency laws requiring the public disclosure of payments made to healthcare professionals and institutions, and data privacy laws.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Efforts to ensure that our activities comply with applicable healthcare laws and regulations involves substantial costs. We remain focused on enhancing our global compliance infrastructure as we prepare for the launch of our products in additional countries, assuming regulatory approvals. Although effective compliance programs can mitigate the risk of investigation and prosecution for violations of these laws, these risks cannot be entirely eliminated.</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participation in federal health care programs such as Medicare and Medicaid, the curtailment or restructuring of our operations, and other actions. Further, defending against any such actions can be costly, time-consuming, and may require significant personnel resources. Therefore, even if we are successful in defending against any such actions that may be brought against us, our business may be impaired. In October 2025, we received a subpoena from the U.S. Attorney’s Office for the District of Massachusetts seeking documents pertaining to our government price reporting for AMVUTTRA, ONPATTRO, OXLUMO and GIVLAARI, including certain fee and discount arrangements with distributors, and certain other related documents and communications. We have produced records responsive to the subpoena and are continuing to engage with the U.S. Attorney’s Office. We anticipate that, even if government authorities conclude that our business practices were fully compliant with laws, responding to the subpoena will result in significant expense and require attention of our management.</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Chevron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guidance issued by federal agencies, including FDA and CMS,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U.S. and international privacy laws, including, for example, health privacy laws, comprehensive state privacy laws, consumer protection laws, data localization laws, and genetic privacy laws.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U.S., there are numerous federal and state laws and regulations governing the privacy and the collection, use, disclosure and other processing of personal data, health data, genetic data, and children's data. For example, at the federal level, the Federal Trade Commission, or FTC, sets requirements for safeguarding personal data and for providing a level of privacy commensurate to promises made to consumers. The failure to meet these requirements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can result in civil penalties or enforcement actions. Additionally, at the state level, many states have enacted comprehensive consumer privacy laws, and many other consumer privacy laws are expected to go into effect in the near future. In addition, sector- and data-specific laws, such as those addressing consumer health data privacy, marketing communications, data security, and the sale/transfer of certain bulk sensitive data, may apply to aspects of our operations or the operations of our collaborators. These laws include certain transparency and other requirements to protect personal data and grant residents of such states with certain rights regarding their personal data.</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EU’s General Data Protection Regulation, or GDPR, imposes strict requirements on controllers and processors of personal data, including special protections for “special category data,” which includes health, biometric and genetic information of data subjects located in the EEA and UK. Further, the GDPR provides a broad right for EEA Member States to create supplemental national laws, such as laws relating to the processing of health, genetic and biometric data, which could further limit our ability to use and share such data or could cause our costs to increase, and harm our business and financial condition.</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Member States and the UK, which may deviate slightly from the GDPR, may result in fines of up to 4% of total global annual revenue, or €20.0 million (₤17.5 million under the UK GDPR), whichever is greater, and in addition to such fines, we may be the subject of litigation and/or adverse publicity, which could have a material adverse effect on our reputation and business. As a result of the implementation of the GDPR, we are required to implement a number of measures to ensure compliance with the data protection regime. The GDPR (i) requires us to inform data subjects of how we process their personal data and how they can exercise their rights, (ii) requires us to ensure we have a valid legal basis to process personal data (if this is consent, the requirements for obtaining consent carries a higher threshold), (iii) requires us to appoint a data protection officer where sensitive personal data (i.e., health data) is processed on a large scale, (iv) introduces mandatory data breach notification requirements throughout the EEA and UK, (v) requires us to maintain records of our processing activities and document data protection impact assessments where there is high risk processing, (vi) imposes additional obligations on us when we are contracting with service providers, requires (vii) appropriate technical and organizational measures to be put in place to safeguard personal data and (viii) requires us to adopt appropriate privacy governance including policies, procedures, training and data audit.</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Significantly, the GDPR imposes strict rules on the transfer of personal data out of the EEA and UK to the U.S. or other regions that have not been deemed to offer “adequate” privacy protections. In the past, companies in the U.S. were able to rely upon the EU-U.S., UK-U.S. and the Swiss-U.S. Privacy Shield frameworks as a basis for lawful transfer of personal data from the EU and the UK to the U.S. In July 2020, the Court of Justice of the European Union, or CJEU, in Case C-311/18 (Data Protection Commissioner v Facebook Ireland and Maximillian Schrems, or Schrems II) invalidated the EU-U.S. Privacy Shield on the grounds that the Privacy Shield failed to offer adequate protections to EU personal data transferred to the U.S. The CJEU, in the same decision, deemed that the Standard Contractual Clauses, or SCCs, published by the EC are valid. However, the CJEU ruled that transfers made pursuant to the SCCs need to be assessed on a case-by-case basis to ensure the law in the recipient country provides “essentially equivalent” protections to safeguard the transferred personal data as the EU, and required businesses to adopt supplementary measures if such standard is not met. Subsequent guidance published by the European Data Protection Board in June 2021 described what such supplementary measures must be, and stated that businesses should avoid or cease transfers of personal data if, in the absence of supplementary measures, equivalent protections cannot be afforded. On June 4, 2021, the EC published new versions of the SCCs, which seek to address the issues identified by the CJEU’s Schrems II decision and provide further details regarding the transfer assessments that the parties are required to conduct when implementing the new SCCs. However, there continue to be concerns about whether the SCCs and other mechanisms will face additional challenges. Similarly, in September 2020, the Swiss data protection authority determined the Swiss-U.S. Privacy Shield framework was no longer a valid mechanism for Swiss-U.S. data transfers and raised questions about the validity of the SCCs as a mechanism for transferring personal data from Switzerland. While SCCs provide an alternative to our Privacy Shield certification for EU-U.S. data flows, the decision (and certain regulatory guidance issued in its wake) casts doubt on the legality of EU-U.S. data flows in general. Any inability to transfer, or burdensome restrictions on the ability to transfer, personal data from the EU to the U.S. in compliance with applicable data protection laws may impede our ability to conduct clinical trials and may adversely affect our business, prospects, operating results and financial condition. The UK is not subject to the EC’s new SCCs but has published its own transfer mechanism, the International Data Transfer Agreement or International Data Transfer Addendum, which enables transfers from the UK. On March 25, 2022, the EC and the U.S. announced a political agreement on a new “Trans-Atlantic Data Privacy Framework” to replace the invalidated Privacy Shield. The framework introduced new binding safeguards to address the concerns raised by the CJEU in Schrems II. On July 10, 2023, the EC announced that it had adopted its adequacy decision for that data privacy framework, labelled the EU-U.S.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Data Privacy Framework. The adequacy decision concluded that the U.S. ensures an adequate level of protection for personal data transferred from the EU to U.S. companies under the new framework, and the EC stated that as a result personal data can flow safely from the EU to U.S. companies participating in the framework, without having to put in place additional data protection safeguards. The EU-U.S. Data Privacy Framework is subject to periodic reviews, to be conducted by the EC, together with other European data protection authorities and U.S. authorities, with the first review to take place within a year of adoption of the adequacy decision. A case has been lodged with and remains pending before the EU courts challenging the validity of the EU-U.S. Data Privacy Framework.</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EEA Member States have adopted implementing national laws to implement the GDPR which may partially deviate from the GDPR and the competent authorities in the EEA Member States may interpret GDPR obligations slightly differently from country to country, and we do not expect to operate in a uniform legal landscape in the EU. In addition, following Brexit, the GDPR was incorporated into the law of England and Wales, Scotland and Northern Ireland by virtue of the European Union (Withdrawal) Act 2018 and as amended by the Data Protection, Privacy and Electronic Communications (Amendments etc.) (EU Exit) Regulations 2019 (SI 2019/419), or UK GDPR. The UK’s data protection authority, the Information Commissioner’s Office, has indicated that it will continue to enforce UK GDPR in line with the enforcement of GDPR in the EU, and currently the UK GDPR and the GDPR are broadly aligned. However, the UK’s Data (Use and Access) Act 2025 (DUAA), which received Royal Assent in June 2025 and will take effect in stages between June 2025 and June 2026, creates divergence between the EU and UK data protection regimes.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subject to the supervision of local data protection authorities in those jurisdictions in which we are monitoring the behavior of individuals in the EEA or UK (i.e., undertaking clinical trials). We depend on a number of third parties in relation to the provision of our services, a number of which process personal data of EU and/or UK individuals on our behalf. With each such provider we enter or intend to enter into contractual arrangements under which the provider is contractually obligated to only process personal data according to our instructions, and conduct or intend to conduct diligence to ensure that they have sufficient technical and organizational security measures in place.</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also subject to evolving European privacy laws on electronic marketing and cookies. The EU is in the process of replacing the e-Privacy Directive (2002/58/EC) with a new set of rules taking the form of a regulation, which will be directly implemented in the laws of each European member state, without the need for further enactment. While the e-Privacy Regulation was originally intended to be adopted on May 25, 2018 (alongside the GDPR), it is still going through the European legislative process. Draft regulations were rejected by the Permanent Representatives Committee of the Council of EU on November 22, 2019; it is not clear when, or even if, new regulations will be adopted. We are also subject to current and evolving privacy laws in other foreign countries, such as Canada.</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requires that we take on more onerous obligations in our contracts, restrict our ability to collect, use and disclose data, and, in some cases, impacts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pricing and price reporting obligations under the Medicaid Drug Rebate Program, Medicare Part B, the 340B Drug Pricing Program and other federal and state government pricing programs, we could be subject to legal sanctions, including penalties, which could have a material adverse effect on our business, operating results and financial condition.</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participate in and/or report pricing and other data in connection with the Medicaid Drug Rebate Program, Medicare Part B, the 340B Drug Pricing Program, the Veterans Health Care Act, and a number of other federal and state government programs in the U.S. Participation in some of these programs is required in order to obtain reimbursement of our drug products under Medicaid or Medicare Part B. These programs generally require that we provide discounts or pay rebates to certain payers or purchasers when our products are dispensed to beneficiaries of these programs. To support the calculation of these discounts and rebates, these programs may also impose periodic and special price and product data reporting requirements. Program requirements are often ambiguous, and historically there have been various, evolving changes to manufacturer reporting and other obligations under these government pricing programs. Such changes could significantly impact our business and operations. For example, changes in the determination of “average sales price” under Medicare Part B related to “bona fide service fees” and the mandatory submission of the manufacturer’s reasonable assumptions in calculating “average sales price,” both of which take effect in 2026, may increase the complexity and compliance burden around Medicare Part B reporting.</w:t>
      </w:r>
    </w:p>
    <w:p>
      <w:pPr>
        <w:spacing w:after="0" w:line="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price and price reporting obligations are complex, vary across drug products and programs, continue to evolve, and are often subject to interpretation by agencies and courts. These interpretations may change over time, and complex methodologies and related assumptions used in making calculations under these programs are subject to review and challenge. In October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2025, we received a subpoena from the U.S. Attorney’s Office for the District of Massachusetts seeking documents pertaining to our government price reporting for AMVUTTRA, ONPATTRO, OXLUMO and GIVLAARI, including certain fee and discount arrangements with distributors, and certain other related documents and communications. Any inaccuracies in our prior reporting may lead to recalculations and restatements, which may increase our historic liability. Further, civil monetary or other penalties may be applied if we fail to pay required rebates or other amounts, if we are found to have knowingly submitted false pricing or product information to the government, or if we are found to have made other misrepresentations or errors in our pricing submissions. Government agencies also could decide to terminate our relevant government agreements, in which case federal government reimbursement would not be available under Medicaid or Medicare Part B for our products. In addition, potential policy changes by the current presidential administration may introduce additional uncertainty for our business. These could include changes to the level of scrutiny applied by the Health Resources and Services Administration to enforce non-compliance with the 340B Drug Pricing Program, new price restrictions on products we sell to Medicaid, Medicare or other government purchasers, or other regulatory changes impacting reimbursement or competitive dynamics in multi-source markets. Any such policy shifts could significantly impact our business and operations.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Increasingly, states are enacting legislation requiring manufacturers to report drug pricing information. States, however, have not always clearly defined their reporting requirements, which may result in manufacturers inadvertently failing to properly disclose the required pricing information. Complying with federal and state programs and future changes to these programs can be complex and cost-and resource-intensive, and could have a material adverse effect on our business, prospects, operating results and financial condition.</w:t>
      </w:r>
    </w:p>
    <w:p>
      <w:pPr>
        <w:spacing w:after="0" w:line="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of product liability claims in our business. If we are unable to obtain sufficient insurance, a product liability claim against us could adversely affect our business, prospects, operating results and financial condition.</w:t>
      </w:r>
    </w:p>
    <w:p>
      <w:pPr>
        <w:spacing w:after="0" w:line="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Such claims might not be fully covered by product liability insurance. In addition, product liability claims could result in an FDA investigation of the safety and effectiveness of our approved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Any product liability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adverse effect on our business.</w:t>
      </w:r>
    </w:p>
    <w:p>
      <w:pPr>
        <w:spacing w:after="0" w:line="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or insider trading violations, which could significantly harm our business, prospects, operating results and financial condition.</w:t>
      </w:r>
    </w:p>
    <w:p>
      <w:pPr>
        <w:spacing w:after="0" w:line="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governmental regulations, including healthcare fraud and abuse and anti-kickback laws and regulations in the U.S. and abroad, or failure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As discussed in the Risk Factor above captioned “If we fail to comply with broad and complex healthcare and other laws, we could face substantial penalties and our business, operations, and financial condition could be adversely affected,” these laws and regulations may restrict or prohibit a wide range of pricing, discounting, marketing and promotion, sales commission, customer incentive programs and other business arrangements. Employee misconduct could also involve the improper use of, including improper trading based upon, material information obtained in the course of clinical trials or other material non-public information, which could result in regulatory sanctions and serious harm to our reputation. We maintain a global compliance program and remain focused on its evolution and enhancement. Our program includes efforts such as risk assessment and monitoring, fostering a speak-up culture encouraging employees and third parties to raise good faith questions or concerns, and defined processes and systems for reviewing and remediating allegations and identified potential concerns. It is not always possible, however,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prospects, operating results and financial condition, including the imposition of significant fines or other sanctions.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prospects, operating results and financial condition could be adversely affected.</w:t>
      </w:r>
    </w:p>
    <w:p>
      <w:pPr>
        <w:spacing w:after="0" w:line="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research, development and manufacturing activities involve the use of hazardous materials, chemicals and various radioactive compounds. We maintain quantities of various flammable and toxic chemicals in our facilities in Cambridge and Norton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these materials in our Cambridge and Norton facilities comply with the relevant guidelines of the City of Cambridge, the town of Norton, the Commonwealth of Massachusetts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Patents, Licenses and Trade Secrets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discoveries, our ability to develop and commercialize our product candidates will be harmed.</w:t>
      </w:r>
    </w:p>
    <w:p>
      <w:pPr>
        <w:spacing w:after="0" w:line="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compositions, methods and technologies that we develop under the patent and other intellectual property laws of the U.S. and other countries, so that we can prevent others from unlawfully using our inventions and proprietary information. However, we may not hold proprietary rights to some patents required for us to manufacture and commercialize our current and future products. Because certain U.S. patent applications are confidential until the patents issue, such as applications filed prior to November 29, 2000, or applications filed after such date that will not be filed in foreign countries, third parties may have filed patent applications for subject matter covered by our pending patent applications without our being aware of those applications, and our patent applications may not have priority over those applications. For this and other reasons, we may be unable to secure desired patent rights, thereby losing desired exclusivity. Further, we or our collaborators may be required to obtain licenses under third-party patents to market one or more of our or our collaborator’s approved products, or further develop and commercialize future products, or continue to develop product candidates in our pipeline being developed by us or our collaborators. If licenses are not available to us or not available on reasonable terms or at all, we or our licensees may not be able to market the affected products or conduct the desired activities.</w:t>
      </w:r>
    </w:p>
    <w:p>
      <w:pPr>
        <w:spacing w:after="0" w:line="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strategy depends on our ability to rapidly identify and seek patent protection for our discoveries. In addition, we may rely on third-party collaborators to file patent applications relating to proprietary technology that we develop jointly as part of collaborations. The process of obtaining patent protection is expensive and time-consuming. If we or our collaborators fail to file and prosecute all necessary and desirable patent applications at a reasonable cost and in a timely manner, our business may be adversely affected. Despite our efforts and the efforts of our collaborators to protect our proprietary rights, unauthorized parties may be able to obtain and use information that we regard as proprietary. While issued patents are presumed valid, this does not guarantee that the patent will survive a validity challenge or be held enforceable. Any patents we have obtained, or obtain in the future, may be challenged, invalidated, adjudged unenforceable or circumvented by parties attempting to design around our intellectual property. Moreover, third parties may commence administrative proceedings that challenge the validity, enforceability, inventorship, or ownership of our patents or patent applications. Any challenge to, finding of unenforceability or invalidation or circumvention of, our patents or patent applications, would be costly, would require significant time and attention of our management, could reduce or eliminate milestone and/or royalty payments to us from third party licensors and could have a material adverse effect on our business.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pending patent applications may not result in issued patents. The patent position of pharmaceutical or biotechnology companies, including ours, is generally uncertain and involves complex legal and factual considerations. The standards that the United States Patent and Trademark Office and its foreign counterparts use to grant patents are not always applied predictably or uniformly and can change. Similarly, the ultimate degree of protection that will be afforded to biotechnology inventions, including ours, in the U.S. and foreign countries, remains uncertain and is dependent upon the scope of the protection decided upon by patent offices, courts and lawmakers. Moreover, there are periodic discussions in the U.S. Congress and in international jurisdictions about modifying various aspects of patent law.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do not know the degree of future protection for our proprietary rights or the breadth of claims that will be allowed in any patents issued to us or to others.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prospects, operating results and financial condition could be materially adversely affected.</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obtain and maintain broad patent scope and all available regulatory exclusivities and to maximize patent term restoration or extension on patents covering our products and product candidates may lead to loss of exclusivity and generic entry resulting in a loss of market share and/or revenue.</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license patent rights from third-party owners. If such owners do not properly or successfully obtain, maintain or enforce the patents underlying such licenses, our competitive position and business, prospects, operating results and financial condition may be harmed.</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party to a number of licenses that give us rights to third-party intellectual property that is necessary or useful for our business. In particular, we have obtained licenses from, among others, Ionis, Arbutus, and Dicerna. We may also enter into additional licenses to third-party intellectual property in the future.</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we have licensed.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operating results and financial condition.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patent rights or may assert patent rights that prevent us from developing and commercializing our products.</w:t>
      </w:r>
    </w:p>
    <w:p>
      <w:pPr>
        <w:spacing w:after="0" w:line="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RNAi is a growing scientific field, the commercial exploitation of which has resulted in many different patents and patent applications from organizations and individuals seeking to obtain patent protection in the field. We have obtained grants and issuances of RNAi patents and have licensed many of these patents from third parties on an exclusive basis. The issued patents and pending patent applications in the U.S. and in key markets around the world that we own or license claim many different methods, compositions and processes relating to the discovery, development, manufacture and commercialization of RNAi therapeutics.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Specifically, we have a portfolio of patents, patent applications and other intellectual property covering, among other things: fundamental aspects of the structure and uses of siRNAs, including their use as therapeutics, and RNAi-related mechanisms; chemical modifications to siRNAs that improve their suitability for therapeutic and other uses; siRNAs directed to specific targets as treatments for particular diseases; delivery technologies, such as in the fields of carbohydrate conjugates and cationic liposomes; and all aspects of our specific development candidates.</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the field of RNAi therapeutics continues to mature, patent applications are being fully processed by national patent offices around the world. There is uncertainty about which patents will issue, and, if they do, as to when, to whom, and with what claims. It is likely that there will be significant litigation and other proceedings, such as derivation, re-examination and opposition proceedings, as well as pre- and post-grant review proceedings in various patent offices relating to patent rights in the RNAi field. In addition, third parties may challenge the validity of our patents. We expect that challenges will be raised relating to patents and patent applications in our portfolio.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prospects, operating results and financial condition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effect on our business, prospects, operating results and financial condition and on our ability to successfully compete in the field of RNAi.</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oligonucleotide chemistry and modifications that we may need for our siRNA products marketed by us or our licensees, our late-stage therapeutic candidates being developed by us or our collaborators, including zilebesiran and fitusiran, as well as our other pipeline products. There are also many issued patents that claim targeting genes or portions of genes that may be relevant for siRNA drugs we wish to develop. In addition, there may be issued and pending patent applications that may be asserted against us in a court proceeding or otherwise based upon the asserting party’s belief that we may need such patents for our siRNA therapeutic candidates or marketed products, or to further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develop and commercialize future products, or to continue to develop candidates in our pipeline that are being developed by us or our collaborators. Thus, it is possible that one or more organizations will hold patent rights to which we may need a license, or hold patent rights which could be asserted against us. If those organizations refuse to grant us a license to such patent rights on reasonable terms or at all and/or a court rules that we need such patent rights that have been asserted against us, we may be unable to market our products, including AMVUTTRA, ONPATTRO, GIVLAARI or OXLUMO, or to perform research and development or other activities covered by such patents.</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Competitors could enter the market with generic versions of AMVUTTRA or our or our collaborators’ other marketed products developed in collaboration with us, which may result in a material decline in sales of affected product(s).</w:t>
      </w:r>
    </w:p>
    <w:p>
      <w:pPr>
        <w:spacing w:after="0" w:line="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Hatch-Waxman Act, a pharmaceutical manufacturer may file an abbreviated new drug application, or an ANDA, seeking approval of a generic copy of an approved, innovator product such as AMVUTTRA or our or our collaborators’ other marketed products developed in collaboration with us. Under the Hatch-Waxman Act, a manufacturer may also submit a 505(b)(2) application that references the FDA’s finding of safety and effectiveness of a previously approved innovator product. A 505(b)(2) application product may be for a new or improved version of the original innovator product. Innovative products may be eligible for certain periods of regulatory exclusivity (e.g., five years for new chemical entities, three years for changes to an approved drug requiring a new clinical study, and seven years for orphan drugs), which preclude FDA approval (or in some circumstances, FDA filing and review of) an ANDA or 505(b)(2) application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a Paragraph IV certification in the ANDA or 505(b)(2) application challenging the validity or enforceability of, or claiming non-infringement of, the listed patent or patents. Notice of the Paragraph IV certification must be given to the innovator, and if within 45 days of receiving notice the innovator sues to enforce its patents, approval of the ANDA is stayed for 30 months, or as lengthened or shortened by the court.</w:t>
      </w:r>
    </w:p>
    <w:p>
      <w:pPr>
        <w:spacing w:after="0" w:line="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March 13, 2026, we and our collaborators, Novartis Pharmaceuticals Corp., Novartis Technology LLC, and The Medicines Company, filed a patent infringement lawsuit against Cipla USA Inc. and Cipla Ltd, or collectively, Cipla, in the U.S. District Court for the District of Delaware based on Cipla’s ANDA seeking approval from FDA to market a generic version of Leqvio. We cannot predict the outcome of any litigation regarding the Leqvio patents, nor can we predict whether there will be additional ANDA filings or 505(b)(2) applications for Leqvio, or whether there will be ANDA filings for AMVUTTRA or our or our collaborators’ other product candidates developed in collaboration with us.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have been a number of recent regulatory and legislative initiatives designed to encourage generic competition for pharmaceutical products. For instance,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and our collaborators may not be successful in securing or maintaining proprietary patent protection for our marketed products.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For instance, if the existing ANDA filers or additional competitors are able to enter the market with generic versions of Leqvio, Novartis’ sales of Leqvio could materially decline which could have an adverse impact on the royalties that we receive on Leqvio sales.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intellectual property litigation or other proceedings related to a determination of rights, we could incur substantial costs and expenses, and in the case of such litigation or proceedings against us, substantial liability for damages or be required to stop our product development and commercialization efforts.</w:t>
      </w:r>
    </w:p>
    <w:p>
      <w:pPr>
        <w:spacing w:after="0" w:line="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Third parties may sue us for infringing their patent rights. For example, in December 2024, the Board of Regents of the University of Texas System, or the University of Texas, filed a lawsuit in the United States District Court for the Western District of Texas, alleging that we infringe one of the University of Texas’ patents by making, using and commercializing ONPATTRO in the U.S. In February 2025, we filed a motion to dismiss for improper venue and an alternative motion to transfer the case to the U.S. District Court for the District of Massachusetts. On July 2, 2025, the Court denied the motion to dismiss and to transfer the case without prejudice, and we filed a renewed motion to dismiss and to transfer the case on September 24, 2025. On December 15, 2025, the court granted in part and denied in part our motion to dismiss and ordered the case transferred to the U.S. District Court for the District of Massachusetts after determining that venue was improper in the Western District of Texas. The case is now proceeding in the District of Massachusetts. Third parties may also claim that we have improperly obtained or used their confidential or proprietary information.</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third parties may challenge the inventorship of our patents or licensed patents. For example, in March 2011, The University of Utah, or Utah, filed a complaint against us, Max Planck Gesellschaft Zur Foerderung Der Wissenschaften e.V. and Max Planck Innovation, together, Max Planck, Whitehead, MIT and the University of Massachusetts, claiming that a professor of Utah was the sole inventor, or in the alternative, a joint inventor of certain of our in-licensed patents. Utah was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seeking correction of inventorship of the Tuschl patents, unspecified damages and other relief. After several years of court proceedings and discovery, the court granted our motions for summary judgment and dismissed Utah’s state law damages claims. During the pendency of this litigation, we incurred significant costs, and in each case, the litigation diverted the attention of our management and other resources that would otherwise have been engaged in other activities.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need to resort to litigation to enforce patents issued or licensed to us or to determine the scope and validity of proprietary rights of others or protect our proprietary information and trade secrets. In March 2022, we filed separate lawsuits in United States District Court for the District of Delaware against Moderna and Pfizer, seeking damages for patent infringement in the parties’ manufacture and sale of their messenger RNA COVID-19 vaccines. In August 2025, we entered a settlement agreement with Pfizer, and in September 2025, we entered a settlement agreement with Moderna, resolving all claims in both actions.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protecting our intellectual patent rights through litigation or other means, a third party may claim that we have improperly asserted our rights against them. For example, in August 2017, Dicerna successfully added counterclaims against us in the above-referenced trade secret lawsuit alleging that our lawsuit represented abuse of process and claiming tortious interference with its business. In addition, in August 2017, Dicerna filed a lawsuit against us in the United States District Court of Massachusetts alleging attempted monopolization by us under the Sherman Antitrust Act. As noted above, in April 2018, we and Dicerna settled all claims in the litigation between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such intellectual property rights, even if resolved in our favor, could be substantial, and litigation would divert our management’s efforts. Some of our competitors may be able to sustain the costs of complex patent litigation more effectively than we can because they have substantially greater resources. Uncertainties resulting from the initiation and continuation of any litigation or legal proceeding could delay our research, development and commercialization efforts and limit our ability to continue our operations.</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any parties successfully claim that our creation or use of proprietary technologies infringes upon or otherwise violates their intellectual property rights, we might be forced to pay damages, potentially including treble damages, if we are found to have willfully infringed on such parties’ patent rights. In addition to any damages we might have to pay, a court could issue an injunction requiring us to stop the infringing activity or obtain a license from the claimant. Any license required under any patent may not be made available on commercially reasonable terms, or at all. In addition, such licenses are in many instances non-exclusive and, therefore, our competitors may have access to the same technology that is licensed to us. If we fail to obtain a required license and are unable to design around a patent, we may be unable to effectively market some of our technology and products, which could limit our ability to generate revenues or maintain profitability and possibly prevent us from generating revenue sufficient to sustain our operations. Moreover, we expect that a number of our collaboration agreements will provide that royalties payable to us for licenses to our intellectual property may be offset by amounts paid by our collaborators to third parties who have competing or superior intellectual property positions in the relevant fields, which could result in significant reductions in our revenues from products developed through collaborations.</w:t>
      </w:r>
    </w:p>
    <w:p>
      <w:pPr>
        <w:spacing w:after="0" w:line="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licenses or related agreements, we may be required to pay damages and could lose license or other rights that are necessary for developing, commercializing and protecting our RNAi technology, as well as our products and product candidates.</w:t>
      </w:r>
    </w:p>
    <w:p>
      <w:pPr>
        <w:spacing w:after="0" w:line="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current licenses impose, and any future licenses we enter into are likely to impose, various development, commercialization, funding, milestone, royalty, diligence, sublicensing, insurance, patent prosecution and enforcement, and other obligations on us. If we breach any of these obligations, or use the intellectual property licensed to us in an unauthorized manner, we may be required to pay damages and the licensor may have the right to terminate the license or render the license non-exclusive, which could result in us being unable to develop, manufacture, market and sell products that are covered by the licensed technology or enable a competitor to gain access to the licensed technology. Moreover, we could incur significant costs and/or disruption to our business and distraction of our management defending against any breach of such licenses alleged by the licensor. For example, in June 2018, Ionis sent us a notice claiming that it was owed technology access fees, or TAFs, based on rights granted and amounts paid to us in connection with the January 2018 amendment of our collaboration agreement with Sanofi and the related Exclusive TTR License and AT3 License Terms. Following arbitration proceedings, the panel ruled in favor of each party on certain TAF associated claims and awarded Ionis compensation of $41.2 million for a TAF on certain rights we received in the Sanofi restructuring.</w:t>
      </w:r>
    </w:p>
    <w:p>
      <w:pPr>
        <w:spacing w:after="0" w:line="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will be required to pay on sales of each of our approved products or future products, if any, the amounts may be significant. The amount of our future royalty obligations will depend on the technology and intellectual property we use in such products. Therefore, even if we successfully develop and commercialize products, we may be unable to maintain profitability.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order to protect our proprietary technology and processes, we rely in part on confidentiality agreements with our collaborators, potential collaborators, employees, consultants, scientific advisors, CMOs,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 third parties may independently discover trade secrets and proprietary information, and in such cases we could not assert any trade secret rights against such party. Costly and time-consuming litigation could be necessary to enforce and determine the scope of our proprietary rights, and failure to obtain or maintain trade secret protection could adversely affect our business, prospects, operating results and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1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market is intensely competitive. If we or our collaborators are unable to compete effectively with existing drugs, new treatment methods and new technologies, we or our collaborators may be unable to commercialize successfully any drugs that we or our collaborators develop.</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8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human resources than we have;</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preclinical testing, conducting clinical trials, obtaining regulatory approvals, and in manufacturing, marketing and selling drug products;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products that have been approved or are in late stages of development;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in our target markets with leading companies and research institutions.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face intense competition from drugs that have already been approved and accepted by the medical community for the treatment of the conditions for which we have developed products. In addition, there are a number of drugs currently under development and that may become commercially available in the future, for the treatment of conditions for which we may try to develop product candidates. These drugs may be more effective, safer, less expensive, have more convenient administration or be marketed and sold more effectively, than any products we develop and commercialize.</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example, AMVUTTRA for the treatment of ATTR amyloidosis with cardiomyopathy, competes with VYNDAQEL/VYNDAMAX (tafamidis), which is marketed by Pfizer, and ATTRUBY (acoramidis), which is marketed by BridgeBio, both of which are approved to treat ATTR amyloidosis with cardiomyopathy. While we believe AMVUTTRA has a competitive profile for the treatment of patients with ATTR amyloidosis with cardiomyopathy, both VYNDAQEL/VYNDAMAX and ATTRUBY are administered in pill form and are available in the U.S. at lower list prices than AMVUTTRA, which may impact our ability to compete favorably with these products and may adversely affect AMVUTTRA’s market share and net product revenue. We are also aware of other product candidates in clinical development for the treatment of ATTR amyloidosis with cardiomyopathy, including WAINUA (eplontersen), which is being developed by Ionis and AstraZeneca plc, or AstraZeneca, and is in Phase 3 clinical development; nexiguran ziclumeran (formerly NTLA-2001), which is being developed by Intellia Therapeutics, Inc. and Regeneron and is in Phase 3 clinical development; cliramitug (formerly ALXN220/NI006), which is being developed by Neurimmune AG and Alexion Pharmaceuticals, Inc. (a subsidiary of AstraZeneca) and is in Phase 3 clinical development; coramitug (NNC-6019-0001), which is being developed by Novo Nordisk and is in Phase 3 clinical development; ART-001 which is being developed by Accuredit Therapeutics and is in Phase 2 clinical development (China only); YOLT-201 which is being developed by YolTech and is in Phase 2 clinical development (China only); and AT-02, which is being developed by Attralus, Inc. and is in Phase 1 clinical development; and BPR-30221616, which his being developed by Chengdu Beite Pharma and is in Phase 1 clinical development (China only). We expect to face competition from any of these and potentially other additional new drugs that enter the market to treat patients with ATTR amyloidosis with cardiomyopathy.</w:t>
      </w:r>
    </w:p>
    <w:p>
      <w:pPr>
        <w:spacing w:after="0" w:line="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AMVUTTRA and ONPATTRO are also approved in certain jurisdictions for the treatment of certain patients with hATTR amyloidosis with polyneuropathy. We are aware of other approved products used to treat this disease, including WAINUA (eplontersen), VYNDAQEL/VYNDAMAX (tafamidis), and TEGSEDI (inotersen), which is marketed by Ionis. There are also product candidates in various stages of clinical development for the treatment of hATTR amyloidosis patients with polyneuropathy, including nexiguran ziclumeran (nex-z, formerly NTLA-2001), which is in Phase 3 clinical development; ART-001, which is being developed by Accuredit Therapeutics and is in Phase 2 clinical development (China only); and YOLT-201, which is being developed by YolTech and is planned for Phase 3 clinical development after recent completion of its Phase 2 clinical trial (China only). AMVUTTRA and ONPATTRO may face continued competitive pressures from these approved products and product candidates, or others, which could adversely affect their market share and net product revenues.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aware of approved products and product candidates in various stages of clinical development for the treatment of PH1 that would compete with OXLUMO, our RNAi therapeutic approved in the U.S. and EU for the treatment of this disease,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including Novo Nordisk’s RIVFLOZA (nedosiran), which was approved for the treatment of PH1 in September 2023 and launched in the U.S. in early 2024. RIVFLOZA is a once-monthly subcutaneous RNAi therapy that was developed by Dicerna. In April 2020, we and Dicerna granted each other a non-exclusive cross-license to our respective intellectual property related to lumasiran and Dicerna’s nedosiran. In addition, several companies have investigational drugs in clinical development for the treatment of PH1, including Biocodex, Inc. in collaboration with M8 Pharmaceuticals, Inc., and YolTech.</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collaborators continue to successfully develop product candidates, and obtain approval for them, we and our collaborators will face competition based on many different factors, including:</w:t>
      </w:r>
    </w:p>
    <w:p>
      <w:pPr>
        <w:spacing w:after="0" w:line="5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our or our collaborators’ products relative to alternative therapies, if any;</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or our collaborators’ products can be administered and the extent to which patients accept relatively new routes of administration;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for these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or our collaborators’ products relative to alternative approved therapies;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coverage;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position.</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over any products we or our collaborators develop based on any of the factors listed above or on other factors. In addition, our competitors may enter into collaborations with or receive funding from larger pharmaceutical or biotechnology companies, providing them with an advantage over us and our collaborators. Our competitors may therefore be more successful in commercializing their products than we or our collaborators are, which could adversely affect our competitive position and business, prospects, operating results and financial condition. Competitive products may make any products we or our collaborators develop obsolete or noncompetitive before we can recover the expenses of developing and commercializing our product candidates. Such competitors could also recruit our employees, which could negatively impact our level of expertise and our ability to execute on our business plan. Furthermore, we and our collaborators also face competition from existing and new treatment methods that reduce or eliminate the need for drugs, such as the use of advanced medical devices. The development of new medical devices or other treatment methods for the diseases we and our collaborators are targeting could make our or our collaborators’ product candidates noncompetitive, obsolete or uneconomical.</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face competition from other companies that are working to develop novel drugs and technology platforms using technology similar to ours, as well as from companies utilizing emerging technologies. If these companies develop drugs more rapidly than we or our collaborators do or their technologies, including delivery technologies, are more effective, our and our collaborators’ ability to successfully commercialize our products may be adversely affected.</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to the competition we face from competing drugs in general, we and our collaborators also face competition from other companies working to develop novel drugs using technology that competes more directly with our own. We are aware of several other companies that are working to develop RNAi therapeutic products. Some of these companies are seeking, as we are, to develop chemically synthesized siRNAs as drugs. Others are following a gene therapy approach, with the goal of treating patients with synthetic, exogenously-introduced genes designed to produce siRNA-like molecules within cells. Companies working on chemically synthesized siRNAs include, but are not limited to, ADARx Pharmaceuticals, Inc., Amgen Inc., Argo Biopharmaceutical Co., Ltd., Aro Biotherapeutics, Arrowhead and its collaborators, AstraZeneca, Dyne Therapeutics, Inc., Eli Lilly and Company, GlaxoSmithKline plc, Novartis, Novo Nordisk A/S, SanegeneBio, Sarepta Therapeutics, Inc., Silence Therapeutics plc, Takeda Pharmaceutical Company Ltd., and Wave Life Sciences, Ltd., as well as our collaborators Regeneron, Roche, Sanofi and Vir. In addition, we granted licenses or options for licenses to Ionis, Benitec Biopharma Ltd., Arrowhead, Arbutus, Sylentis and other companies under which these companies may independently develop RNAi therapeutics against a limited number of targets. Any one of these companies may develop its RNAi technology more rapidly and more effectively than we do. In addition, as a result of agreements that we have entered into, Takeda has obtained a non-exclusive license, and Arrowhead, as the assignee of Novartis, has obtained specific exclusive licenses for 30 gene targets, that include access to certain aspects of our technology.</w: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and our collaborators also compete with companies working to develop antisense-based drugs. Similar to RNAi therapeutics, antisense drugs target mRNAs in order to suppress the activity of specific genes. Akcea Therapeutics, Inc., a wholly owned subsidiary of Ionis, has received marketing approval for an antisense drug, inotersen, for the treatment of adult hATTR amyloidosis patients with stage 1 or stage 2 polyneuropathy. Several antisense drugs developed by Ionis have been approved and are currently marketed, including WAINUA (eplontersen), and Ionis has multiple antisense product candidates in clinical trials. Ionis is also developing antisense drugs using ligand-conjugated GalNAc technology licensed from us, and these drugs have been shown to have increased potency at lower doses in clinical and preclinical studies, compared with antisense drugs that do not use such licensed GalNAc technology. The development of antisense drugs and antisense technology may become the preferred technology for drugs that target mRNAs to silence specific genes.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competition with respect to RNAi and with respect to specific products, we face substantial competition to discover and develop safe and effective means to deliver siRNAs to the relevant cell and tissue types. If our competitors develop safe and effective means to deliver siRNAs to the relevant cell and tissue types, our ability to successfully commercialize a competitive product would be adversely affected. In addition, third parties are expending substantial resources to discover and develop a safe and effective means of delivering siRNAs into the relevant cell and tissue types, including both private companies and academic laboratories. Some of our competitors have substantially greater resources than we do, and if our competitors negotiate exclusive access to delivery solutions developed by third parties, we may be unable to successfully commercialize our product candidates.</w:t>
      </w:r>
    </w:p>
    <w:p>
      <w:pPr>
        <w:spacing w:after="0" w:line="6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in the future be volatile, and an investment in our common stock could suffer a decline in value.</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The stock market in general and the market for biotechnology companies in particular have experienced extreme price and volume volatility that has often been unrelated to the operating performance of particular companies. The market price of our common stock in the future could be significantly and adversely affected by many factors, including:</w:t>
      </w:r>
    </w:p>
    <w:p>
      <w:pPr>
        <w:spacing w:after="0" w:line="82" w:lineRule="exact"/>
        <w:rPr>
          <w:sz w:val="20"/>
          <w:szCs w:val="20"/>
          <w:color w:val="auto"/>
        </w:rPr>
      </w:pPr>
    </w:p>
    <w:p>
      <w:pPr>
        <w:jc w:val="both"/>
        <w:ind w:left="66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quarterly earnings releases and other public announcements, including updates regarding AMVUTTRA and our or our collaborators’ other commercialized products or product candidates, our net product and collaboration revenues and operating expenses for completed periods and financial guidance regarding future periods;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or our collaborators’ products or product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collaborations,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or emerging real world evidence, for our or our collaborators’ product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or our collaborators’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emerging real world evidence, for our competitors’ products or product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or our collaborators’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financial results or development timelines;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financing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financial guidance or expectations of investors or any of the securities analysts that cover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any of the securities analysts that cover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extent to which such conditions are impacted by administrative and policy decisions globally and in the U.S.;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declines in the market price of their securities. This risk is especially relevant for biopharmaceutical companies, which have experienced significant stock price volatility in recent years. We may be the target of securities litigation that could result in substantial costs and divert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management’s attention and resources, which could cause serious harm to our business, prospects, operating results and financial condition. We maintain liability insurance; however, if any costs or expenses associated with litigation exceed our insurance coverage, we may be forced to bear some or all of these costs and expenses directly, which could be substantial. In addition, we have obligations to indemnify third parties, including our officers and directors, in connection with certain litigation, and those obligations may not be covered by insurance.</w:t>
      </w:r>
    </w:p>
    <w:p>
      <w:pPr>
        <w:spacing w:after="0" w:line="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including by us, our officers or directors, or our significant stockholders, into the public market could cause the price of our common stock to decline.</w:t>
      </w:r>
    </w:p>
    <w:p>
      <w:pPr>
        <w:spacing w:after="0" w:line="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small number of our stockholders beneficially own a substantial amount of our common stock. As of March 31, 2026, our eight largest stockholders beneficially owned in excess of 50% of our outstanding shares of common stock. If we, our officers or directors, or our significant stockholders sell substantial amounts of our common stock in the public market, or there is a perception that such sales may occur, the market price of our common stock could be adversely affected. Sales of common stock by our significant stockholders might make it more difficult for us to raise funds by selling equity or equity-related securities in the future at a time and price that we deem appropriate.</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delay or prevent an acquisition of us or a change in the current members of our management or the members of our board of directors. Among other things, these provisions:</w:t>
      </w:r>
    </w:p>
    <w:p>
      <w:pPr>
        <w:spacing w:after="0" w:line="5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our board of directors are not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prohibition on actions by our stockholders by written consent;</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 and</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election to our board of directors and for proposing matters that can be acted upon at stockholder meetings.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Risks Related to Our Convertible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pay our indebtedness.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March 31, 2026, we had $397.2 million in total aggregate principal amount of Notes issued and outstanding. The interest rate for the 2027 Notes is fixed at 1.00% per annum and is payable semi-annually in arrears on March 15 and September 15 of each year. The 2028 Notes do not bear regular interest. Our ability to make scheduled payments of the principal of, to pay interest on or to refinance our indebtedness, including the Notes, or to make cash payments in connection with any conversions of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From time to time, we may repurchase, redeem or otherwise extinguish any of our outstanding notes in open market or privately negotiated purchases or otherwise, or we may repurchase or redeem outstanding notes pursuant to the terms of the applicable indenture. We may not be able to engage in any of these activities or engage in these activities on desirable terms, which could result in a default on our debt obligations.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indebtedness, combined with our other financial obligations and contractual commitments, could have other important consequences. For example, it could: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adverse changes in general U.S. and worldwide economic, industry and competitive conditions and adverse changes in government regulation;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amounts to fund acquisitions, for working capital and for other general corporate purposes;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our company less attractive or more difficult.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factors could harm our business, prospects, operating results and financial condition. In addition, if we incur additional indebtedness, the risks related to our business and our ability to service or repay our indebtedness would increase.</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for cash conversions of the Notes or to repurchase the Notes for cash upon a fundamental change.</w:t>
      </w:r>
    </w:p>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Holders of the Notes have the right to require us to repurchase their Notes upon the occurrence of a fundamental change (as defined in the indenture governing the Notes) at a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such notes or to pay any cash payable on future conversions of the Notes as required by such indenture would constitute a default under such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liquidity.</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liability, rather than long-term liability, which would result in a material reduction of our net working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the Notes may affect the value of our common stock.</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conversion of some or all of the Notes would dilute the ownership interests of existing stockholders to the extent we satisfy our conversion obligation by delivering shares of our common stock upon any conversion of such Notes. The Notes may become in the future convertible at the option of their holders under certain circumstances. If holders of the Notes elect to convert their notes, we may settle our conversion obligation by delivering to them a significant number of shares of our common stock, which would cause dilution to our existing stockholders.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issuance of the Notes, we entered into the Capped Calls with certain financial institutions, or the Option Counterparties. The Capped Calls are generally expected to reduce potential dilution to our common stock upon any conversion or settlement of the Notes and/or offset any cash payments we are required to make in excess of the principal amount of converted Notes, with such reduction and/or offset subject to a cap.</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Calls, the Option Counterparties or their respective affiliates entered into various derivative transactions with respect to our common stock and/or purchased shares of our common stock concurrently with or shortly after the pricing of the Notes.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Notes (and are likely to do so following any conversion of the Notes, any repurchase of the Notes by us on any fundamental change repurchase date, any redemption date, or any other date on which the Notes are retired by us, in each case, if we exercise our option to terminate the relevant portion of the Capped Calls). This activity could cause a decrease and/or increased volatility in the market price of our common stock.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the Notes or our common stock. In addition, we do not make any representation that the Option Counterparties will engage in these transactions or that these transactions, once commenced, will not be discontinued without notice.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Option Counterparties are financial institutions, and are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the 2028 Notes will not bear regular interest, holders may not earn a return on their investment in the 2028 Notes.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2028 Notes will not bear regular interest. Although special interest will accrue on the 2028 Notes in certain circumstances, the 2028 Notes may mature or be redeemed by us without the accrual or payment of any special interest. Accordingly, holders of 2028 Notes may not earn any return on their investment in the 2028 Notes unless they resell them at a price that exceeds the price at which they purchased the 2028 Notes or they realize a gain in connection with the conversion of their 2028 Notes. Holders of 2028 Notes may not be able to resell their 2028 Notes at favorable prices, and the trading price of our common stock may never exceed the conversion price of the 2028 Notes. As a result, investment in the 2028 Notes may not earn any return at all and may result in losses.</w:t>
      </w:r>
    </w:p>
    <w:p>
      <w:pPr>
        <w:spacing w:after="0" w:line="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Notes on our condensed consolidated balance sheet, accruing interest expense for the Notes and reflecting the underlying shares of our common stock in our reported diluted earnings per share may adversely affect our reported earnings and financial condition.</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are reflected as a liability on our condensed consolidated balance sheets, with the initial carrying amount equal to the principal amount of the Notes, net of issuance costs. The issuance costs were treated as a debt discount for accounting purposes, which is being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higher reported net loss, as the case may be.</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shares of common stock underlying the Notes are reflected in our diluted earnings per share using the “if-converted” method, in accordance with ASU 2020-06. Under this method, diluted earnings per share is generally calculated assuming that all the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spacing w:after="0" w:line="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holders actually convert their Notes and could materially reduce our reported working capital.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10b5-1 Trading Plans by Our Officers and Directors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our fiscal quarter ended March 31, 2026, none of our directors or officers adopted or terminated a “Rule 10b5-1 trading plan” or a “non-Rule 10b5-1 trading arrangement,”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of Special PSU Award Agreement for Chief Executive Officer.</w:t>
            </w:r>
          </w:p>
        </w:tc>
        <w:tc>
          <w:tcPr>
            <w:tcW w:w="3780" w:type="dxa"/>
            <w:vAlign w:val="bottom"/>
            <w:gridSpan w:val="7"/>
          </w:tcPr>
          <w:p>
            <w:pPr>
              <w:spacing w:after="0"/>
              <w:rPr>
                <w:sz w:val="17"/>
                <w:szCs w:val="17"/>
                <w:color w:val="auto"/>
              </w:rPr>
            </w:pP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promulgated under the Securities Exchange Act of</w:t>
            </w:r>
          </w:p>
        </w:tc>
      </w:tr>
      <w:tr>
        <w:trPr>
          <w:trHeight w:val="169"/>
        </w:trPr>
        <w:tc>
          <w:tcPr>
            <w:tcW w:w="860" w:type="dxa"/>
            <w:vAlign w:val="bottom"/>
          </w:tcPr>
          <w:p>
            <w:pPr>
              <w:spacing w:after="0"/>
              <w:rPr>
                <w:sz w:val="14"/>
                <w:szCs w:val="14"/>
                <w:color w:val="auto"/>
              </w:rPr>
            </w:pPr>
          </w:p>
        </w:tc>
        <w:tc>
          <w:tcPr>
            <w:tcW w:w="13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1934, as amended</w:t>
            </w:r>
          </w:p>
        </w:tc>
        <w:tc>
          <w:tcPr>
            <w:tcW w:w="7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promulgated under the Securities Exchange Act of</w:t>
            </w:r>
          </w:p>
        </w:tc>
      </w:tr>
      <w:tr>
        <w:trPr>
          <w:trHeight w:val="169"/>
        </w:trPr>
        <w:tc>
          <w:tcPr>
            <w:tcW w:w="860" w:type="dxa"/>
            <w:vAlign w:val="bottom"/>
          </w:tcPr>
          <w:p>
            <w:pPr>
              <w:spacing w:after="0"/>
              <w:rPr>
                <w:sz w:val="14"/>
                <w:szCs w:val="14"/>
                <w:color w:val="auto"/>
              </w:rPr>
            </w:pPr>
          </w:p>
        </w:tc>
        <w:tc>
          <w:tcPr>
            <w:tcW w:w="13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1934, as amended</w:t>
            </w:r>
          </w:p>
        </w:tc>
        <w:tc>
          <w:tcPr>
            <w:tcW w:w="73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13a-14(b) promulgated under the Securities Exchange Act of</w:t>
            </w:r>
          </w:p>
        </w:tc>
      </w:tr>
      <w:tr>
        <w:trPr>
          <w:trHeight w:val="169"/>
        </w:trPr>
        <w:tc>
          <w:tcPr>
            <w:tcW w:w="86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1934, as amended, and Section 1350 of Chapter 63 of Title 18 of the United States Code</w:t>
            </w:r>
          </w:p>
        </w:tc>
        <w:tc>
          <w:tcPr>
            <w:tcW w:w="23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13a-14(b) promulgated under the Securities Exchange Act of</w:t>
            </w:r>
          </w:p>
        </w:tc>
      </w:tr>
      <w:tr>
        <w:trPr>
          <w:trHeight w:val="169"/>
        </w:trPr>
        <w:tc>
          <w:tcPr>
            <w:tcW w:w="860" w:type="dxa"/>
            <w:vAlign w:val="bottom"/>
          </w:tcPr>
          <w:p>
            <w:pPr>
              <w:spacing w:after="0"/>
              <w:rPr>
                <w:sz w:val="14"/>
                <w:szCs w:val="14"/>
                <w:color w:val="auto"/>
              </w:rPr>
            </w:pPr>
          </w:p>
        </w:tc>
        <w:tc>
          <w:tcPr>
            <w:tcW w:w="63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1934, as amended, and Section 1350 of Chapter 63 of Title 18 of the United States Code</w:t>
            </w:r>
          </w:p>
        </w:tc>
        <w:tc>
          <w:tcPr>
            <w:tcW w:w="2300" w:type="dxa"/>
            <w:vAlign w:val="bottom"/>
            <w:tcBorders>
              <w:top w:val="single" w:sz="8" w:color="0000FF"/>
            </w:tcBorders>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880" w:right="459" w:hanging="854"/>
        <w:spacing w:after="0" w:line="245"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23" w:lineRule="exact"/>
        <w:rPr>
          <w:sz w:val="20"/>
          <w:szCs w:val="20"/>
          <w:color w:val="auto"/>
        </w:rPr>
      </w:pPr>
    </w:p>
    <w:p>
      <w:pPr>
        <w:ind w:left="880" w:hanging="854"/>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80" w:right="699" w:hanging="854"/>
        <w:spacing w:after="0" w:line="229"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the rules of the Securities and Exchange Commission because such information (i) is not material and (ii) would likely cause competitive harm to the Registrant if publicly disclosed.</w:t>
      </w:r>
    </w:p>
    <w:p>
      <w:pPr>
        <w:spacing w:after="0" w:line="2" w:lineRule="exact"/>
        <w:rPr>
          <w:sz w:val="20"/>
          <w:szCs w:val="20"/>
          <w:color w:val="auto"/>
        </w:rPr>
      </w:pPr>
    </w:p>
    <w:p>
      <w:pPr>
        <w:ind w:left="880" w:right="419" w:hanging="854"/>
        <w:spacing w:after="0" w:line="223"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ALNYLAM PHARMACEUTICALS, INC.</w:t>
            </w:r>
          </w:p>
        </w:tc>
      </w:tr>
      <w:tr>
        <w:trPr>
          <w:trHeight w:val="49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Yvonne L. Greenstreet, M.D.</w:t>
            </w:r>
          </w:p>
        </w:tc>
      </w:tr>
      <w:tr>
        <w:trPr>
          <w:trHeight w:val="169"/>
        </w:trPr>
        <w:tc>
          <w:tcPr>
            <w:tcW w:w="5080" w:type="dxa"/>
            <w:vAlign w:val="bottom"/>
          </w:tcPr>
          <w:p>
            <w:pPr>
              <w:spacing w:after="0"/>
              <w:rPr>
                <w:sz w:val="14"/>
                <w:szCs w:val="14"/>
                <w:color w:val="auto"/>
              </w:rPr>
            </w:pPr>
          </w:p>
        </w:tc>
        <w:tc>
          <w:tcPr>
            <w:tcW w:w="61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Yvonne L. Greenstreet, M.D.</w:t>
            </w:r>
          </w:p>
        </w:tc>
      </w:tr>
      <w:tr>
        <w:trPr>
          <w:trHeight w:val="184"/>
        </w:trPr>
        <w:tc>
          <w:tcPr>
            <w:tcW w:w="5080" w:type="dxa"/>
            <w:vAlign w:val="bottom"/>
          </w:tcPr>
          <w:p>
            <w:pPr>
              <w:spacing w:after="0"/>
              <w:rPr>
                <w:sz w:val="16"/>
                <w:szCs w:val="16"/>
                <w:color w:val="auto"/>
              </w:rPr>
            </w:pPr>
          </w:p>
        </w:tc>
        <w:tc>
          <w:tcPr>
            <w:tcW w:w="61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V. Poulton</w:t>
            </w:r>
          </w:p>
        </w:tc>
      </w:tr>
      <w:tr>
        <w:trPr>
          <w:trHeight w:val="169"/>
        </w:trPr>
        <w:tc>
          <w:tcPr>
            <w:tcW w:w="5080" w:type="dxa"/>
            <w:vAlign w:val="bottom"/>
          </w:tcPr>
          <w:p>
            <w:pPr>
              <w:spacing w:after="0"/>
              <w:rPr>
                <w:sz w:val="14"/>
                <w:szCs w:val="14"/>
                <w:color w:val="auto"/>
              </w:rPr>
            </w:pPr>
          </w:p>
        </w:tc>
        <w:tc>
          <w:tcPr>
            <w:tcW w:w="61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Jeffrey V. Poulton</w:t>
            </w:r>
          </w:p>
        </w:tc>
      </w:tr>
      <w:tr>
        <w:trPr>
          <w:trHeight w:val="184"/>
        </w:trPr>
        <w:tc>
          <w:tcPr>
            <w:tcW w:w="5080" w:type="dxa"/>
            <w:vAlign w:val="bottom"/>
          </w:tcPr>
          <w:p>
            <w:pPr>
              <w:spacing w:after="0"/>
              <w:rPr>
                <w:sz w:val="16"/>
                <w:szCs w:val="16"/>
                <w:color w:val="auto"/>
              </w:rPr>
            </w:pPr>
          </w:p>
        </w:tc>
        <w:tc>
          <w:tcPr>
            <w:tcW w:w="61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0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ALNYLAM PHARMACEUTICALS, INC.</w:t>
      </w:r>
    </w:p>
    <w:p>
      <w:pPr>
        <w:spacing w:after="0" w:line="3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Performance Stock Unit Award Agreement</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u w:val="single" w:color="auto"/>
          <w:color w:val="auto"/>
        </w:rPr>
        <w:t>Granted Under 2018 Stock Incentive Plan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 of Grantee: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5"/>
        </w:trPr>
        <w:tc>
          <w:tcPr>
            <w:tcW w:w="382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Target No. of Performance Stock Units: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439"/>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r>
      <w:tr>
        <w:trPr>
          <w:trHeight w:val="425"/>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Number:</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Pursuant to the Alnylam Pharmaceuticals, Inc. Amended and Restated 2018 Stock Incentive Plan, as amended through the date hereof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Alnylam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Grantee named above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Performance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on the Grant Date. Each PSU shall relate to one share of common stock, par value $0.01 per share (the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of the Company. The target number of PSUs subject to this Award is referenced above (the “</w:t>
      </w:r>
      <w:r>
        <w:rPr>
          <w:rFonts w:ascii="Times New Roman" w:cs="Times New Roman" w:eastAsia="Times New Roman" w:hAnsi="Times New Roman"/>
          <w:sz w:val="22"/>
          <w:szCs w:val="22"/>
          <w:u w:val="single" w:color="auto"/>
          <w:color w:val="auto"/>
        </w:rPr>
        <w:t>Target PSUs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656"/>
        <w:spacing w:after="0" w:line="253" w:lineRule="auto"/>
        <w:tabs>
          <w:tab w:leader="none" w:pos="10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PSUs subject to the Award may not be sold, transferred, pledged, assigned or otherwise encumbered or disposed of, until (i) the Earned PSUs (as defined below), if any, have vested as provided in Section 2 of this Agreement and (ii) shares of Stock have been issued to the Grantee in accordance with the terms of the Plan and this Agreement.</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0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Earned PSUs; Certain Terminations of Employment; Change in Control</w:t>
      </w:r>
      <w:r>
        <w:rPr>
          <w:rFonts w:ascii="Times New Roman" w:cs="Times New Roman" w:eastAsia="Times New Roman" w:hAnsi="Times New Roman"/>
          <w:sz w:val="22"/>
          <w:szCs w:val="22"/>
          <w:color w:val="auto"/>
        </w:rPr>
        <w:t xml:space="preserve">. So long as the Grantee remains an Eligible Participant, the restrictions and conditions of Section 1 of this Agreement shall lapse with respect to any Earned PSUs, as determined pursuant to the provisions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on December 31, 2029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Notwithstanding the foregoing or anything in the Employment Agreement (as defined below) to the contrary, in the event the Grantee, while an Eligible Participant, dies or experiences a Triggering Event (as defined below) prior to the Vesting Date (in such case, the Grantee shall be referred to as a “</w:t>
      </w:r>
      <w:r>
        <w:rPr>
          <w:rFonts w:ascii="Times New Roman" w:cs="Times New Roman" w:eastAsia="Times New Roman" w:hAnsi="Times New Roman"/>
          <w:sz w:val="22"/>
          <w:szCs w:val="22"/>
          <w:u w:val="single" w:color="auto"/>
          <w:color w:val="auto"/>
        </w:rPr>
        <w:t>Continuing Grantee</w:t>
      </w:r>
      <w:r>
        <w:rPr>
          <w:rFonts w:ascii="Times New Roman" w:cs="Times New Roman" w:eastAsia="Times New Roman" w:hAnsi="Times New Roman"/>
          <w:sz w:val="22"/>
          <w:szCs w:val="22"/>
          <w:color w:val="auto"/>
        </w:rPr>
        <w:t xml:space="preserve">”), the Award will remain outstanding with the number of Earned PSUs, if any, determined pursuant to the provisions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and the Award vesting on the Vesting Date.</w:t>
      </w:r>
    </w:p>
    <w:p>
      <w:pPr>
        <w:spacing w:after="0" w:line="17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 the event a Change in Control occurs prior to the Performance Period End Date, to the extent the PSUs are outstanding immediately prior to such Change in Control, the PSUs will become Earned PSUs based on actual achievement of the Performance Measure as determined by the Committee as if the date of such Change in Control were the Performance Period End Date (as defined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and using the price of a share of Company stock, as determined in connection with the Change in Control, to measure the achievement of the Company Share Price Target. Except in the case of a Continuing Grantee, the number of Earned PSUs, if any, determined pursuant to the previous sentence shall continue</w:t>
      </w:r>
    </w:p>
    <w:p>
      <w:pPr>
        <w:sectPr>
          <w:pgSz w:w="11900" w:h="16838" w:orient="portrait"/>
          <w:cols w:equalWidth="0" w:num="1">
            <w:col w:w="11240"/>
          </w:cols>
          <w:pgMar w:left="320" w:top="122" w:right="339" w:bottom="1440" w:gutter="0" w:footer="0" w:header="0"/>
        </w:sectPr>
      </w:pPr>
    </w:p>
    <w:bookmarkStart w:id="83" w:name="page84"/>
    <w:bookmarkEnd w:id="83"/>
    <w:p>
      <w:pPr>
        <w:ind w:right="20"/>
        <w:spacing w:after="0" w:line="247" w:lineRule="auto"/>
        <w:rPr>
          <w:sz w:val="20"/>
          <w:szCs w:val="20"/>
          <w:color w:val="auto"/>
        </w:rPr>
      </w:pPr>
      <w:r>
        <w:rPr>
          <w:rFonts w:ascii="Times New Roman" w:cs="Times New Roman" w:eastAsia="Times New Roman" w:hAnsi="Times New Roman"/>
          <w:sz w:val="22"/>
          <w:szCs w:val="22"/>
          <w:color w:val="auto"/>
        </w:rPr>
        <w:t>to vest based solely on time and shall vest on the Vesting Date, so long as the Grantee remains an Eligible Participant; provided, however, that in the case of a Continuing Grantee, the number of Earned PSUs, if any, shall automatically vest upon the occurrence of the Change in Control. Other than in the case of a Continuing Grantee, if (i) in connection with a Change in Control, the Earned PSUs are assumed or continued, or a new award is substituted for the Earned PSUs by the acquiror or survivor (or an affiliate of the acquiror or survivor) in accordance with the provisions of Section 10(b) of the Plan, (ii) the Grantee remains an Eligible Participant through the date of a Change in Control and (iii) after the date of a Change in Control the Grantee experiences a Triggering Event or the Grantee dies, the Earned PSUs will automatically vest in full upon such termination of employment. If, in connection with a Change in Control, the Earned PSUs are not assumed or continued, or a new award is not substituted for the Earned PSUs by the acquiror or survivor (or an affiliate of the acquiror or survivor) in accordance with the provisions of Section 10(b) of the Plan, the Earned PSUs will automatically vest in full upon the occurrence of such Change in Control. Notwithstanding the foregoing, to the extent required to avoid adverse tax consequences under Section 409A of the Code, any Earned PSUs (or assumed or substituted awards in respect of such Earned PSUs) that are subject to the requirements of Section 409A of the Code shall be settled on the Vesting Date.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following terms shall have the following meanings:</w:t>
      </w:r>
    </w:p>
    <w:p>
      <w:pPr>
        <w:spacing w:after="0" w:line="233" w:lineRule="exact"/>
        <w:rPr>
          <w:sz w:val="20"/>
          <w:szCs w:val="20"/>
          <w:color w:val="auto"/>
        </w:rPr>
      </w:pPr>
    </w:p>
    <w:p>
      <w:pPr>
        <w:ind w:left="1360" w:right="180" w:hanging="326"/>
        <w:spacing w:after="0" w:line="295" w:lineRule="auto"/>
        <w:tabs>
          <w:tab w:leader="none" w:pos="135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“Triggering Event” shall mean a termination of the Grantee’s employment or service (i) by the Company as a result of the Grantee’s Disability, (ii) by the Company without Cause or (iii) by the Grantee for “Good Reason”.</w:t>
      </w:r>
    </w:p>
    <w:p>
      <w:pPr>
        <w:spacing w:after="0" w:line="135" w:lineRule="exact"/>
        <w:rPr>
          <w:rFonts w:ascii="Times New Roman" w:cs="Times New Roman" w:eastAsia="Times New Roman" w:hAnsi="Times New Roman"/>
          <w:sz w:val="21"/>
          <w:szCs w:val="21"/>
          <w:color w:val="auto"/>
        </w:rPr>
      </w:pPr>
    </w:p>
    <w:p>
      <w:pPr>
        <w:ind w:left="1360" w:right="360" w:hanging="326"/>
        <w:spacing w:after="0" w:line="257" w:lineRule="auto"/>
        <w:tabs>
          <w:tab w:leader="none" w:pos="13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“Good Reason” and “Disability” shall have the respective meanings ascribed to such terms in the Grantee’s Employment Agreement with the Company effective as of December 13, 2021, as the same may be amended and in effect from time to time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1360" w:hanging="326"/>
        <w:spacing w:after="0"/>
        <w:tabs>
          <w:tab w:leader="none" w:pos="13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shall mean:</w:t>
      </w:r>
    </w:p>
    <w:p>
      <w:pPr>
        <w:spacing w:after="0" w:line="219" w:lineRule="exact"/>
        <w:rPr>
          <w:rFonts w:ascii="Times New Roman" w:cs="Times New Roman" w:eastAsia="Times New Roman" w:hAnsi="Times New Roman"/>
          <w:sz w:val="22"/>
          <w:szCs w:val="22"/>
          <w:color w:val="auto"/>
        </w:rPr>
      </w:pPr>
    </w:p>
    <w:p>
      <w:pPr>
        <w:ind w:left="2000" w:hanging="318"/>
        <w:spacing w:after="0" w:line="248" w:lineRule="auto"/>
        <w:tabs>
          <w:tab w:leader="none" w:pos="199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185" w:lineRule="exact"/>
        <w:rPr>
          <w:rFonts w:ascii="Times New Roman" w:cs="Times New Roman" w:eastAsia="Times New Roman" w:hAnsi="Times New Roman"/>
          <w:sz w:val="22"/>
          <w:szCs w:val="22"/>
          <w:color w:val="auto"/>
        </w:rPr>
      </w:pPr>
    </w:p>
    <w:p>
      <w:pPr>
        <w:ind w:left="2000" w:right="100" w:hanging="318"/>
        <w:spacing w:after="0" w:line="263" w:lineRule="auto"/>
        <w:tabs>
          <w:tab w:leader="none" w:pos="199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majority of the members of the Board is replaced during any 24-month period by directors whose appointment or election is not endorsed by a majority of the members of the Board before the date of the appointment or election;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00"/>
          </w:cols>
          <w:pgMar w:left="320" w:top="1422" w:right="379" w:bottom="1440" w:gutter="0" w:footer="0" w:header="0"/>
        </w:sectPr>
      </w:pPr>
    </w:p>
    <w:bookmarkStart w:id="84" w:name="page85"/>
    <w:bookmarkEnd w:id="84"/>
    <w:p>
      <w:pPr>
        <w:ind w:left="2000" w:hanging="318"/>
        <w:spacing w:after="0" w:line="248" w:lineRule="auto"/>
        <w:tabs>
          <w:tab w:leader="none" w:pos="199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(i)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50 percent or more of the voting shares of the Company issuing cash or securities in the consolidation or merger (or of its ultimate parent corporation, if any), other than a merger or consolidation which would result in a majority of the board of directors of the combined entity being comprised of members of the board of directors of the pre-transaction Company and the chief executive officer of the combined entity being the chief executive officer of the pre-transaction Company, in each case immediately following the consummation of such merger or consolidation and continuing for one year following such consummation, or (ii) any sale or other transfer (in one transaction or a series of transactions contemplated or arranged by any party as a single plan) of all or substantially all of the assets of the Company.</w:t>
      </w:r>
    </w:p>
    <w:p>
      <w:pPr>
        <w:spacing w:after="0" w:line="184" w:lineRule="exact"/>
        <w:rPr>
          <w:sz w:val="20"/>
          <w:szCs w:val="20"/>
          <w:color w:val="auto"/>
        </w:rPr>
      </w:pPr>
    </w:p>
    <w:p>
      <w:pPr>
        <w:ind w:left="1380" w:firstLine="567"/>
        <w:spacing w:after="0" w:line="249"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be deemed to have occurred for purposes of the foregoing clause (a) solely as the result of an acquisition of securities by the Company that, by reducing the number of shares of Voting Securities outstanding, increases the proportionate number of shares of Voting Securities beneficially owned by any person to 50 percent or more of the combined voting power of all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then outstanding Voting Securities, then a “Change in Control” shall be deemed to have occurred for purposes of the foregoing clause (a).</w:t>
      </w:r>
    </w:p>
    <w:p>
      <w:pPr>
        <w:spacing w:after="0" w:line="18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The Committee may at any time accelerate the Vesting Date or any other vesting event specified in this Section 2, subject to the requirements of Section 409A of the Code.</w:t>
      </w:r>
    </w:p>
    <w:p>
      <w:pPr>
        <w:spacing w:after="0" w:line="171" w:lineRule="exact"/>
        <w:rPr>
          <w:sz w:val="20"/>
          <w:szCs w:val="20"/>
          <w:color w:val="auto"/>
        </w:rPr>
      </w:pPr>
    </w:p>
    <w:p>
      <w:pPr>
        <w:ind w:right="60" w:firstLine="656"/>
        <w:spacing w:after="0" w:line="250" w:lineRule="auto"/>
        <w:tabs>
          <w:tab w:leader="none" w:pos="102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PSUs that May be Earned</w:t>
      </w:r>
      <w:r>
        <w:rPr>
          <w:rFonts w:ascii="Times New Roman" w:cs="Times New Roman" w:eastAsia="Times New Roman" w:hAnsi="Times New Roman"/>
          <w:sz w:val="22"/>
          <w:szCs w:val="22"/>
          <w:color w:val="auto"/>
        </w:rPr>
        <w:t xml:space="preserve">. Except as otherwise provided herein and as further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the percentage of the Target PSUs that are earned by the Grantee (the “</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xml:space="preserve">”) will be determined based on the achievement of the Performance Measure as specified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For the avoidance of doubt, such number of Earned PSUs is variable and may be more than, equal to, or less than, the number of Target PSUs and may range from zero to two hundred percent of the number of Target PSUs.</w:t>
      </w:r>
    </w:p>
    <w:p>
      <w:pPr>
        <w:spacing w:after="0" w:line="180" w:lineRule="exact"/>
        <w:rPr>
          <w:rFonts w:ascii="Times New Roman" w:cs="Times New Roman" w:eastAsia="Times New Roman" w:hAnsi="Times New Roman"/>
          <w:sz w:val="22"/>
          <w:szCs w:val="22"/>
          <w:color w:val="auto"/>
        </w:rPr>
      </w:pPr>
    </w:p>
    <w:p>
      <w:pPr>
        <w:ind w:right="20" w:firstLine="656"/>
        <w:spacing w:after="0" w:line="272" w:lineRule="auto"/>
        <w:tabs>
          <w:tab w:leader="none" w:pos="102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Relationship with the Company</w:t>
      </w:r>
      <w:r>
        <w:rPr>
          <w:rFonts w:ascii="Times New Roman" w:cs="Times New Roman" w:eastAsia="Times New Roman" w:hAnsi="Times New Roman"/>
          <w:sz w:val="21"/>
          <w:szCs w:val="21"/>
          <w:color w:val="auto"/>
        </w:rPr>
        <w:t>. The Grantee shall remain an “</w:t>
      </w:r>
      <w:r>
        <w:rPr>
          <w:rFonts w:ascii="Times New Roman" w:cs="Times New Roman" w:eastAsia="Times New Roman" w:hAnsi="Times New Roman"/>
          <w:sz w:val="21"/>
          <w:szCs w:val="21"/>
          <w:u w:val="single" w:color="auto"/>
          <w:color w:val="auto"/>
        </w:rPr>
        <w:t>Eligible Participant</w:t>
      </w:r>
      <w:r>
        <w:rPr>
          <w:rFonts w:ascii="Times New Roman" w:cs="Times New Roman" w:eastAsia="Times New Roman" w:hAnsi="Times New Roman"/>
          <w:sz w:val="21"/>
          <w:szCs w:val="21"/>
          <w:color w:val="auto"/>
        </w:rPr>
        <w:t>” so long as the Grantee remains an employee or officer of, or consultant or advisor to (which shall, for the avoidance of doubt, include service as a member of the Board), the Company or one of its subsidiaries. If the Grantee ceases to be an Eligible Participant for any reason other than death or the occurrence of a Triggering Event prior to the Vesting Date, the PSUs shall automatically and without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7"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20"/>
          </w:cols>
          <w:pgMar w:left="320" w:top="1422" w:right="359" w:bottom="1440" w:gutter="0" w:footer="0" w:header="0"/>
        </w:sectPr>
      </w:pPr>
    </w:p>
    <w:bookmarkStart w:id="85" w:name="page86"/>
    <w:bookmarkEnd w:id="85"/>
    <w:p>
      <w:pPr>
        <w:ind w:right="360"/>
        <w:spacing w:after="0" w:line="271" w:lineRule="auto"/>
        <w:rPr>
          <w:sz w:val="20"/>
          <w:szCs w:val="20"/>
          <w:color w:val="auto"/>
        </w:rPr>
      </w:pPr>
      <w:r>
        <w:rPr>
          <w:rFonts w:ascii="Times New Roman" w:cs="Times New Roman" w:eastAsia="Times New Roman" w:hAnsi="Times New Roman"/>
          <w:sz w:val="22"/>
          <w:szCs w:val="22"/>
          <w:color w:val="auto"/>
        </w:rPr>
        <w:t>notice terminate and be forfeited, and neither the Grantee nor any of her successors, heirs, assigns, or personal representatives will thereafter have any further rights or interests in such PSUs.</w:t>
      </w:r>
    </w:p>
    <w:p>
      <w:pPr>
        <w:spacing w:after="0" w:line="158" w:lineRule="exact"/>
        <w:rPr>
          <w:sz w:val="20"/>
          <w:szCs w:val="20"/>
          <w:color w:val="auto"/>
        </w:rPr>
      </w:pPr>
    </w:p>
    <w:p>
      <w:pPr>
        <w:ind w:firstLine="656"/>
        <w:spacing w:after="0" w:line="250" w:lineRule="auto"/>
        <w:tabs>
          <w:tab w:leader="none" w:pos="10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administratively practicable following the Vesting Date but in no event later than March 15 of the year immediately following the year in which the Vesting Date occurs, the Company shall issue to the Grantee the number of shares of Stock equal to the aggregate number of Earned PSUs that have vested pursuant to Section 2 on the Vesting Date, and the Grantee shall thereafter have all the rights of a stockholder of the Company with respect to such shares of Stock; it being understood that, in the case of any PSUs that become Earned PSUs in connection with a Change in Control, any such Earned PSUs that become vested prior to the Vesting Date and that are not otherwise subject to the requirements of Section 409A of the Code shall be delivered to the Grantee in a manner so as to allow the Grantee to participate in such Change in Control.</w:t>
      </w:r>
    </w:p>
    <w:p>
      <w:pPr>
        <w:spacing w:after="0" w:line="186" w:lineRule="exact"/>
        <w:rPr>
          <w:rFonts w:ascii="Times New Roman" w:cs="Times New Roman" w:eastAsia="Times New Roman" w:hAnsi="Times New Roman"/>
          <w:sz w:val="22"/>
          <w:szCs w:val="22"/>
          <w:color w:val="auto"/>
        </w:rPr>
      </w:pPr>
    </w:p>
    <w:p>
      <w:pPr>
        <w:ind w:right="200" w:firstLine="656"/>
        <w:spacing w:after="0" w:line="275" w:lineRule="auto"/>
        <w:tabs>
          <w:tab w:leader="none" w:pos="102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including the powers of the Committee set forth in Section 3 of the Plan. Capitalized terms in this Agreement shall have the meaning specified in the Plan, unless a different meaning is specified herein.</w:t>
      </w:r>
    </w:p>
    <w:p>
      <w:pPr>
        <w:spacing w:after="0" w:line="155" w:lineRule="exact"/>
        <w:rPr>
          <w:rFonts w:ascii="Times New Roman" w:cs="Times New Roman" w:eastAsia="Times New Roman" w:hAnsi="Times New Roman"/>
          <w:sz w:val="21"/>
          <w:szCs w:val="21"/>
          <w:color w:val="auto"/>
        </w:rPr>
      </w:pPr>
    </w:p>
    <w:p>
      <w:pPr>
        <w:ind w:right="40" w:firstLine="656"/>
        <w:spacing w:after="0" w:line="249" w:lineRule="auto"/>
        <w:tabs>
          <w:tab w:leader="none" w:pos="10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As a condition to this Award, the Grantee hereby agrees that any required tax withholding obligation shall be satisfied through a mandatory, non-discretionary “sell-to-cover” arrangement with a broker designated by the Company, with all attendant costs to be borne by the Grantee, and hereby authorizes the Company to make such arrangement; provided, however, that in the event that the Grantee has engaged in any opposite way transactions within the previous six (6) months that were not exempt from Section 16(b) of the Exchange Act of 1934, as amended, any required tax withholding obligation associated with this Award shall be satisfied by the Company withholding from shares of Stock to be issued to the Grantee a number of shares of Stock with an aggregate Fair Market Value that would satisfy the withholding amount due. Unless the withholding tax obligations of the Company and/or any subsidiary thereof are satisfied by the Grantee in accordance with this provision, the Company shall have no obligation to issue any shares of Stock on the Grantee’s behalf pursuant to the vesting of any PSUs subject to this Award.</w:t>
      </w:r>
    </w:p>
    <w:p>
      <w:pPr>
        <w:spacing w:after="0" w:line="183" w:lineRule="exact"/>
        <w:rPr>
          <w:rFonts w:ascii="Times New Roman" w:cs="Times New Roman" w:eastAsia="Times New Roman" w:hAnsi="Times New Roman"/>
          <w:sz w:val="22"/>
          <w:szCs w:val="22"/>
          <w:color w:val="auto"/>
        </w:rPr>
      </w:pPr>
    </w:p>
    <w:p>
      <w:pPr>
        <w:ind w:right="360" w:firstLine="656"/>
        <w:spacing w:after="0" w:line="284" w:lineRule="auto"/>
        <w:tabs>
          <w:tab w:leader="none" w:pos="10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or comply with the requirements of Section 409A of the Code.</w:t>
      </w:r>
    </w:p>
    <w:p>
      <w:pPr>
        <w:spacing w:after="0" w:line="143" w:lineRule="exact"/>
        <w:rPr>
          <w:rFonts w:ascii="Times New Roman" w:cs="Times New Roman" w:eastAsia="Times New Roman" w:hAnsi="Times New Roman"/>
          <w:sz w:val="22"/>
          <w:szCs w:val="22"/>
          <w:color w:val="auto"/>
        </w:rPr>
      </w:pPr>
    </w:p>
    <w:p>
      <w:pPr>
        <w:ind w:right="220" w:firstLine="656"/>
        <w:spacing w:after="0" w:line="252" w:lineRule="auto"/>
        <w:tabs>
          <w:tab w:leader="none" w:pos="102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Company nor any subsidiary is obligated by or as a result of the Plan or this Agreement to continue the Grantee in an employment or other service relationship and neither the Plan nor this Agreement shall interfere in any way with the right of the Company or any subsidiary to terminate the employment or other service relationship of the Grantee at any time.</w:t>
      </w:r>
    </w:p>
    <w:p>
      <w:pPr>
        <w:spacing w:after="0" w:line="179" w:lineRule="exact"/>
        <w:rPr>
          <w:rFonts w:ascii="Times New Roman" w:cs="Times New Roman" w:eastAsia="Times New Roman" w:hAnsi="Times New Roman"/>
          <w:sz w:val="22"/>
          <w:szCs w:val="22"/>
          <w:color w:val="auto"/>
        </w:rPr>
      </w:pPr>
    </w:p>
    <w:p>
      <w:pPr>
        <w:ind w:right="440" w:firstLine="656"/>
        <w:spacing w:after="0" w:line="284" w:lineRule="auto"/>
        <w:tabs>
          <w:tab w:leader="none" w:pos="113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4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2" w:right="339" w:bottom="1440" w:gutter="0" w:footer="0" w:header="0"/>
        </w:sectPr>
      </w:pPr>
    </w:p>
    <w:bookmarkStart w:id="86" w:name="page87"/>
    <w:bookmarkEnd w:id="86"/>
    <w:p>
      <w:pPr>
        <w:ind w:firstLine="656"/>
        <w:spacing w:after="0" w:line="211"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Collection and Usage</w:t>
      </w:r>
      <w:r>
        <w:rPr>
          <w:rFonts w:ascii="Times New Roman" w:cs="Times New Roman" w:eastAsia="Times New Roman" w:hAnsi="Times New Roman"/>
          <w:sz w:val="22"/>
          <w:szCs w:val="22"/>
          <w:color w:val="auto"/>
        </w:rPr>
        <w:t>. The Company collects, processes and transfers personal data about the Grantee, in electronic or other form, including but not limited to, the Grantee’s name, home address, email address and telephone number, date of birth, social insurance or social security number, passport number or other national identification number, salary, nationality, job title, any shares of Common Stock or directorships held in the Company, details of all options, stock units or any other entitlement to shares of Common Stock awarded, canceled, exercised, vested, unvested or outstanding in the Grantee’s favor, which the Company and its subsidiaries receive from the Grantee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purposes of implementing, administering and managing the Plan. The legal basis, where required, for the processing of Data is the Grantee’s consent, compliance with relevant laws or regulations to which the Company is subject to or the pursuit by the Company of its respective legitimate interests not outweighed by the Grantee’s interests, rights or freedoms as needed to provide the requested services to the Grantee in accordance with the Plan.</w:t>
      </w:r>
    </w:p>
    <w:p>
      <w:pPr>
        <w:spacing w:after="0" w:line="151" w:lineRule="exact"/>
        <w:rPr>
          <w:rFonts w:ascii="Times New Roman" w:cs="Times New Roman" w:eastAsia="Times New Roman" w:hAnsi="Times New Roman"/>
          <w:sz w:val="22"/>
          <w:szCs w:val="22"/>
          <w:color w:val="auto"/>
        </w:rPr>
      </w:pPr>
    </w:p>
    <w:p>
      <w:pPr>
        <w:ind w:right="20" w:firstLine="656"/>
        <w:spacing w:after="0" w:line="215"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Plan Administration Vendors</w:t>
      </w:r>
      <w:r>
        <w:rPr>
          <w:rFonts w:ascii="Times New Roman" w:cs="Times New Roman" w:eastAsia="Times New Roman" w:hAnsi="Times New Roman"/>
          <w:sz w:val="22"/>
          <w:szCs w:val="22"/>
          <w:color w:val="auto"/>
        </w:rPr>
        <w:t>. The Company may transfer Data to a designated third-party external broker or such other independent stock plan vendors, as may be selected by the Company in the future, which shall assist the Company with the implementation, administration and management of the Plan. Such vendor(s) may open an account for the Grantee to receive and trade shares of Common Stock underlying this Award. The Grantee may be asked to acknowledge, or agree to, separate terms and data processing practices with the vendor(s) with such agreement being a condition of participation in the Plan.</w:t>
      </w:r>
    </w:p>
    <w:p>
      <w:pPr>
        <w:spacing w:after="0" w:line="152" w:lineRule="exact"/>
        <w:rPr>
          <w:sz w:val="20"/>
          <w:szCs w:val="20"/>
          <w:color w:val="auto"/>
        </w:rPr>
      </w:pPr>
    </w:p>
    <w:p>
      <w:pPr>
        <w:ind w:right="780" w:firstLine="204"/>
        <w:spacing w:after="0" w:line="236" w:lineRule="auto"/>
        <w:rPr>
          <w:sz w:val="20"/>
          <w:szCs w:val="20"/>
          <w:color w:val="auto"/>
        </w:rPr>
      </w:pPr>
      <w:r>
        <w:rPr>
          <w:rFonts w:ascii="Times New Roman" w:cs="Times New Roman" w:eastAsia="Times New Roman" w:hAnsi="Times New Roman"/>
          <w:sz w:val="22"/>
          <w:szCs w:val="22"/>
          <w:color w:val="auto"/>
        </w:rPr>
        <w:t>An updated list with the details of all recipients of the Grantee’s Data can be made available upon a relevant request to privacy@alnylam.com.</w:t>
      </w:r>
    </w:p>
    <w:p>
      <w:pPr>
        <w:spacing w:after="0" w:line="150" w:lineRule="exact"/>
        <w:rPr>
          <w:sz w:val="20"/>
          <w:szCs w:val="20"/>
          <w:color w:val="auto"/>
        </w:rPr>
      </w:pPr>
    </w:p>
    <w:p>
      <w:pPr>
        <w:ind w:right="80" w:firstLine="656"/>
        <w:spacing w:after="0" w:line="213"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Retention</w:t>
      </w:r>
      <w:r>
        <w:rPr>
          <w:rFonts w:ascii="Times New Roman" w:cs="Times New Roman" w:eastAsia="Times New Roman" w:hAnsi="Times New Roman"/>
          <w:sz w:val="22"/>
          <w:szCs w:val="22"/>
          <w:color w:val="auto"/>
        </w:rPr>
        <w:t>. The Company will hold and use the Data only as long as is necessary to implement, administer and manage the Grantee’s participation in the Plan, or as required to comply with legal or regulatory obligations, including under tax and security laws. In the latter case, the Grantee understands and acknowledges that the Company’s legal basis for the processing of the Data would be compliance with the relevant laws or regulations and the pursuit by the Company of respective legitimate interests not outweighed by the Grantee’s interests, rights or freedoms. When the Company no longer needs the Data for any of the above purposes, the Grantee understands the Company will isolate it from active systems, remove it from its systems, or anonymize it to be used for statistical purposes as the case may be.</w:t>
      </w:r>
    </w:p>
    <w:p>
      <w:pPr>
        <w:spacing w:after="0" w:line="156" w:lineRule="exact"/>
        <w:rPr>
          <w:rFonts w:ascii="Times New Roman" w:cs="Times New Roman" w:eastAsia="Times New Roman" w:hAnsi="Times New Roman"/>
          <w:sz w:val="22"/>
          <w:szCs w:val="22"/>
          <w:color w:val="auto"/>
        </w:rPr>
      </w:pPr>
    </w:p>
    <w:p>
      <w:pPr>
        <w:ind w:firstLine="656"/>
        <w:spacing w:after="0" w:line="219" w:lineRule="auto"/>
        <w:tabs>
          <w:tab w:leader="none" w:pos="1291"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Subject Rights</w:t>
      </w:r>
      <w:r>
        <w:rPr>
          <w:rFonts w:ascii="Times New Roman" w:cs="Times New Roman" w:eastAsia="Times New Roman" w:hAnsi="Times New Roman"/>
          <w:sz w:val="21"/>
          <w:szCs w:val="21"/>
          <w:color w:val="auto"/>
        </w:rPr>
        <w:t>. The Grantee understands that the Grantee may have a number of rights under data privacy and data protection laws and regulations in the Grantee’s jurisdiction. Depending on where the Grantee is based and the applicable data privacy and data protection laws and regulations, such rights may include the right to (i) request access or copies of Data the Company processes, (ii) rectify or supplement Data that is incorrect, incomplete or out-of-date in light of the purposes underlying the processing, (iii) anonymize or delete Data, (iv) restrict or object to the processing of Data, (v) portability of Data,</w:t>
      </w:r>
    </w:p>
    <w:p>
      <w:pPr>
        <w:spacing w:after="0" w:line="2" w:lineRule="exact"/>
        <w:rPr>
          <w:rFonts w:ascii="Times New Roman" w:cs="Times New Roman" w:eastAsia="Times New Roman" w:hAnsi="Times New Roman"/>
          <w:sz w:val="21"/>
          <w:szCs w:val="21"/>
          <w:color w:val="auto"/>
        </w:rPr>
      </w:pPr>
    </w:p>
    <w:p>
      <w:pPr>
        <w:ind w:right="100" w:firstLine="8"/>
        <w:spacing w:after="0" w:line="214" w:lineRule="auto"/>
        <w:tabs>
          <w:tab w:leader="none" w:pos="36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lodge complaints with competent authorities in the Grantee’s jurisdiction, (vii) receive a list with the names and addresses of any potential recipients of the Grantee’s Data, and/or (viii) receive information about the possibility of not giving consent to process Data and the consequences of not giving consent. To receive clarification regarding these rights or to exercise these rights, the Grantee can contact privacy@alnylam.com.</w:t>
      </w:r>
    </w:p>
    <w:p>
      <w:pPr>
        <w:spacing w:after="0" w:line="153" w:lineRule="exact"/>
        <w:rPr>
          <w:rFonts w:ascii="Times New Roman" w:cs="Times New Roman" w:eastAsia="Times New Roman" w:hAnsi="Times New Roman"/>
          <w:sz w:val="22"/>
          <w:szCs w:val="22"/>
          <w:color w:val="auto"/>
        </w:rPr>
      </w:pPr>
    </w:p>
    <w:p>
      <w:pPr>
        <w:ind w:right="200" w:firstLine="656"/>
        <w:spacing w:after="0" w:line="213" w:lineRule="auto"/>
        <w:tabs>
          <w:tab w:leader="none" w:pos="129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Voluntariness and Consequences of Consent Denial or Withdrawal</w:t>
      </w:r>
      <w:r>
        <w:rPr>
          <w:rFonts w:ascii="Times New Roman" w:cs="Times New Roman" w:eastAsia="Times New Roman" w:hAnsi="Times New Roman"/>
          <w:sz w:val="22"/>
          <w:szCs w:val="22"/>
          <w:color w:val="auto"/>
        </w:rPr>
        <w:t>. Participation in the Plan is voluntary, and the Grantee is providing the consents herein on a free and purely voluntary basis. If the Grantee does not consent, or if the Grantee later seeks to revoke the Grantee’s consent, the Grantee’s salary from or employment and career with the Company will not be affected; the only adverse consequence of refusing or withdrawing the Grantee’s consent is that the Grantee’s ability to participate to the Plan may be affected, as the Company would not (or no longer) be able to grant this Award or other equity awards to the Grantee or administer or maintain such awards. Please note that withdrawal of consent does not affect any processing of Data carried out prior to and up to the date of such withdrawal.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395" w:right="339" w:bottom="1440" w:gutter="0" w:footer="0" w:header="0"/>
        </w:sectPr>
      </w:pPr>
    </w:p>
    <w:bookmarkStart w:id="87" w:name="page88"/>
    <w:bookmarkEnd w:id="87"/>
    <w:p>
      <w:pPr>
        <w:ind w:firstLine="648"/>
        <w:spacing w:after="0" w:line="253" w:lineRule="auto"/>
        <w:rPr>
          <w:sz w:val="20"/>
          <w:szCs w:val="20"/>
          <w:color w:val="auto"/>
        </w:rPr>
      </w:pPr>
      <w:r>
        <w:rPr>
          <w:rFonts w:ascii="Times New Roman" w:cs="Times New Roman" w:eastAsia="Times New Roman" w:hAnsi="Times New Roman"/>
          <w:sz w:val="22"/>
          <w:szCs w:val="22"/>
          <w:color w:val="auto"/>
        </w:rPr>
        <w:t>By accepting this Award and indicating consent via the Company’s acceptance procedure, the Grantee is declaring that the Grantee agrees with the data processing practices described herein and consents to the collection, processing and use of Data by the Company and the transfer of such Data to the recipients mentioned above, including recipients located in countries which do not ensure an adequate level of protection from applicable data privacy and data protection law and regulation perspective, for the purposes described above.</w:t>
      </w:r>
    </w:p>
    <w:p>
      <w:pPr>
        <w:spacing w:after="0" w:line="179"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Finally, the Grantee understands that the Company as the Data Controller of the Data may rely on a different legal basis for the processing or transfer of Data in the future and/or request that the Grantee provide supplementary consents or provide the Grantee with additional privacy related information as the case may be. If applicable and upon request of the Company, the Grantee agrees to provide an executed acknowledgement or any data privacy consent to the Company (or any other acknowledgements, agreements or consents as may be required by the Company) that the Company may deem necessary to obtain under the data privacy laws in the Grantee’s jurisdiction, either now or in the future. The Grantee understands that the Grantee will not be able to participate in the Plan if the Grantee fails to execute any such acknowledgement, agreement or consent requested by the Company.</w:t>
      </w:r>
    </w:p>
    <w:p>
      <w:pPr>
        <w:spacing w:after="0" w:line="182"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22"/>
          <w:szCs w:val="22"/>
          <w:color w:val="auto"/>
        </w:rPr>
        <w:t>Further, the Grantee hereby consents to the treatment of this Award in connection with a Triggering Event, which treatment shall supersede and replace the treatment set forth in the Employment Agreement.</w:t>
      </w:r>
    </w:p>
    <w:p>
      <w:pPr>
        <w:spacing w:after="0" w:line="144" w:lineRule="exact"/>
        <w:rPr>
          <w:sz w:val="20"/>
          <w:szCs w:val="20"/>
          <w:color w:val="auto"/>
        </w:rPr>
      </w:pPr>
    </w:p>
    <w:p>
      <w:pPr>
        <w:ind w:right="40" w:firstLine="656"/>
        <w:spacing w:after="0" w:line="257" w:lineRule="auto"/>
        <w:tabs>
          <w:tab w:leader="none" w:pos="113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ALNYLAM</w:t>
      </w:r>
    </w:p>
    <w:p>
      <w:pPr>
        <w:ind w:left="4720"/>
        <w:spacing w:after="0"/>
        <w:rPr>
          <w:sz w:val="20"/>
          <w:szCs w:val="20"/>
          <w:color w:val="auto"/>
        </w:rPr>
      </w:pPr>
      <w:r>
        <w:rPr>
          <w:rFonts w:ascii="Times New Roman" w:cs="Times New Roman" w:eastAsia="Times New Roman" w:hAnsi="Times New Roman"/>
          <w:sz w:val="22"/>
          <w:szCs w:val="22"/>
          <w:b w:val="1"/>
          <w:bCs w:val="1"/>
          <w:color w:val="auto"/>
        </w:rPr>
        <w:t>PHARMACEUTICALS, INC</w:t>
      </w:r>
    </w:p>
    <w:p>
      <w:pPr>
        <w:spacing w:after="0" w:line="200" w:lineRule="exact"/>
        <w:rPr>
          <w:sz w:val="20"/>
          <w:szCs w:val="20"/>
          <w:color w:val="auto"/>
        </w:rPr>
      </w:pP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18084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88" w:name="page89"/>
    <w:bookmarkEnd w:id="88"/>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GRANTEE: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0740"/>
          </w:cols>
          <w:pgMar w:left="320" w:top="1440" w:right="8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 to</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Restricted Stock Unit Agreement (the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Target PSUs subject to the Award will vest and be earned, if at all, in accordance with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The Target PSUs shall become earned based upon the achievement of the specified Company Share Price Target (defined below) measured at the end of the Performance Period (the “Performance Measure”). The number of Earned PSUs will be equal to the Target PSUs multiplied by the Performance Multiplier specified in the table for the achieved Company Share Price Target. The number of Earned PSUs (if any) shall be rounded up to the nearest whole number of shares of Stock. “Performance Period” means the period beginning on the Grant Date and ending on December 31, 2029 (such date, the “Performance Period End Date”). The vesting of any Earned PSUs shall occur as provided in Section 2 of the Agreement. All determinations under this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shall be made by the Committee and will be final and binding on the Grantee.</w:t>
      </w:r>
    </w:p>
    <w:p>
      <w:pPr>
        <w:spacing w:after="0" w:line="221"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3560" w:type="dxa"/>
            <w:vAlign w:val="bottom"/>
            <w:tcBorders>
              <w:top w:val="single" w:sz="8" w:color="auto"/>
              <w:left w:val="single" w:sz="8" w:color="auto"/>
              <w:bottom w:val="single" w:sz="8" w:color="auto"/>
              <w:right w:val="single" w:sz="8" w:color="auto"/>
            </w:tcBorders>
            <w:shd w:val="clear" w:color="auto" w:fill="17365D"/>
          </w:tcPr>
          <w:p>
            <w:pPr>
              <w:ind w:left="660"/>
              <w:spacing w:after="0"/>
              <w:rPr>
                <w:sz w:val="20"/>
                <w:szCs w:val="20"/>
                <w:color w:val="auto"/>
              </w:rPr>
            </w:pPr>
            <w:r>
              <w:rPr>
                <w:rFonts w:ascii="Times New Roman" w:cs="Times New Roman" w:eastAsia="Times New Roman" w:hAnsi="Times New Roman"/>
                <w:sz w:val="18"/>
                <w:szCs w:val="18"/>
                <w:b w:val="1"/>
                <w:bCs w:val="1"/>
                <w:color w:val="FFFFFF"/>
              </w:rPr>
              <w:t>Company Share Price Target</w:t>
            </w:r>
          </w:p>
        </w:tc>
        <w:tc>
          <w:tcPr>
            <w:tcW w:w="4160" w:type="dxa"/>
            <w:vAlign w:val="bottom"/>
            <w:tcBorders>
              <w:top w:val="single" w:sz="8" w:color="auto"/>
              <w:bottom w:val="single" w:sz="8" w:color="auto"/>
              <w:right w:val="single" w:sz="8" w:color="auto"/>
            </w:tcBorders>
            <w:shd w:val="clear" w:color="auto" w:fill="17365D"/>
          </w:tcPr>
          <w:p>
            <w:pPr>
              <w:ind w:left="1340"/>
              <w:spacing w:after="0"/>
              <w:rPr>
                <w:sz w:val="20"/>
                <w:szCs w:val="20"/>
                <w:color w:val="auto"/>
              </w:rPr>
            </w:pPr>
            <w:r>
              <w:rPr>
                <w:rFonts w:ascii="Times New Roman" w:cs="Times New Roman" w:eastAsia="Times New Roman" w:hAnsi="Times New Roman"/>
                <w:sz w:val="18"/>
                <w:szCs w:val="18"/>
                <w:b w:val="1"/>
                <w:bCs w:val="1"/>
                <w:color w:val="FFFFFF"/>
              </w:rPr>
              <w:t>Performance Level</w:t>
            </w:r>
          </w:p>
        </w:tc>
        <w:tc>
          <w:tcPr>
            <w:tcW w:w="3100" w:type="dxa"/>
            <w:vAlign w:val="bottom"/>
            <w:tcBorders>
              <w:top w:val="single" w:sz="8" w:color="auto"/>
              <w:bottom w:val="single" w:sz="8" w:color="auto"/>
              <w:right w:val="single" w:sz="8" w:color="auto"/>
            </w:tcBorders>
            <w:shd w:val="clear" w:color="auto" w:fill="17365D"/>
          </w:tcPr>
          <w:p>
            <w:pPr>
              <w:ind w:left="580"/>
              <w:spacing w:after="0"/>
              <w:rPr>
                <w:sz w:val="20"/>
                <w:szCs w:val="20"/>
                <w:color w:val="auto"/>
              </w:rPr>
            </w:pPr>
            <w:r>
              <w:rPr>
                <w:rFonts w:ascii="Times New Roman" w:cs="Times New Roman" w:eastAsia="Times New Roman" w:hAnsi="Times New Roman"/>
                <w:sz w:val="18"/>
                <w:szCs w:val="18"/>
                <w:b w:val="1"/>
                <w:bCs w:val="1"/>
                <w:color w:val="FFFFFF"/>
              </w:rPr>
              <w:t>Performance Multiplier*</w:t>
            </w:r>
          </w:p>
        </w:tc>
      </w:tr>
      <w:tr>
        <w:trPr>
          <w:trHeight w:val="228"/>
        </w:trPr>
        <w:tc>
          <w:tcPr>
            <w:tcW w:w="356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&lt;$500</w:t>
            </w:r>
          </w:p>
        </w:tc>
        <w:tc>
          <w:tcPr>
            <w:tcW w:w="416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Below Threshold</w:t>
            </w:r>
          </w:p>
        </w:tc>
        <w:tc>
          <w:tcPr>
            <w:tcW w:w="31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103"/>
        </w:trPr>
        <w:tc>
          <w:tcPr>
            <w:tcW w:w="356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4160" w:type="dxa"/>
            <w:vAlign w:val="bottom"/>
            <w:tcBorders>
              <w:bottom w:val="single" w:sz="8" w:color="auto"/>
              <w:right w:val="single" w:sz="8" w:color="auto"/>
            </w:tcBorders>
            <w:shd w:val="clear" w:color="auto" w:fill="F2F2F2"/>
          </w:tcPr>
          <w:p>
            <w:pPr>
              <w:spacing w:after="0"/>
              <w:rPr>
                <w:sz w:val="8"/>
                <w:szCs w:val="8"/>
                <w:color w:val="auto"/>
              </w:rPr>
            </w:pPr>
          </w:p>
        </w:tc>
        <w:tc>
          <w:tcPr>
            <w:tcW w:w="3100" w:type="dxa"/>
            <w:vAlign w:val="bottom"/>
            <w:tcBorders>
              <w:bottom w:val="single" w:sz="8" w:color="auto"/>
              <w:right w:val="single" w:sz="8" w:color="auto"/>
            </w:tcBorders>
            <w:shd w:val="clear" w:color="auto" w:fill="F2F2F2"/>
          </w:tcPr>
          <w:p>
            <w:pPr>
              <w:spacing w:after="0"/>
              <w:rPr>
                <w:sz w:val="8"/>
                <w:szCs w:val="8"/>
                <w:color w:val="auto"/>
              </w:rPr>
            </w:pPr>
          </w:p>
        </w:tc>
      </w:tr>
      <w:tr>
        <w:trPr>
          <w:trHeight w:val="228"/>
        </w:trPr>
        <w:tc>
          <w:tcPr>
            <w:tcW w:w="356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416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Threshold</w:t>
            </w:r>
          </w:p>
        </w:tc>
        <w:tc>
          <w:tcPr>
            <w:tcW w:w="31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103"/>
        </w:trPr>
        <w:tc>
          <w:tcPr>
            <w:tcW w:w="356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4160" w:type="dxa"/>
            <w:vAlign w:val="bottom"/>
            <w:tcBorders>
              <w:bottom w:val="single" w:sz="8" w:color="auto"/>
              <w:right w:val="single" w:sz="8" w:color="auto"/>
            </w:tcBorders>
            <w:shd w:val="clear" w:color="auto" w:fill="F2F2F2"/>
          </w:tcPr>
          <w:p>
            <w:pPr>
              <w:spacing w:after="0"/>
              <w:rPr>
                <w:sz w:val="8"/>
                <w:szCs w:val="8"/>
                <w:color w:val="auto"/>
              </w:rPr>
            </w:pPr>
          </w:p>
        </w:tc>
        <w:tc>
          <w:tcPr>
            <w:tcW w:w="3100" w:type="dxa"/>
            <w:vAlign w:val="bottom"/>
            <w:tcBorders>
              <w:bottom w:val="single" w:sz="8" w:color="auto"/>
              <w:right w:val="single" w:sz="8" w:color="auto"/>
            </w:tcBorders>
            <w:shd w:val="clear" w:color="auto" w:fill="F2F2F2"/>
          </w:tcPr>
          <w:p>
            <w:pPr>
              <w:spacing w:after="0"/>
              <w:rPr>
                <w:sz w:val="8"/>
                <w:szCs w:val="8"/>
                <w:color w:val="auto"/>
              </w:rPr>
            </w:pPr>
          </w:p>
        </w:tc>
      </w:tr>
      <w:tr>
        <w:trPr>
          <w:trHeight w:val="223"/>
        </w:trPr>
        <w:tc>
          <w:tcPr>
            <w:tcW w:w="3560" w:type="dxa"/>
            <w:vAlign w:val="bottom"/>
            <w:tcBorders>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$600</w:t>
            </w:r>
          </w:p>
        </w:tc>
        <w:tc>
          <w:tcPr>
            <w:tcW w:w="4160" w:type="dxa"/>
            <w:vAlign w:val="bottom"/>
            <w:tcBorders>
              <w:bottom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color w:val="auto"/>
              </w:rPr>
              <w:t>Target</w:t>
            </w:r>
          </w:p>
        </w:tc>
        <w:tc>
          <w:tcPr>
            <w:tcW w:w="3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3560" w:type="dxa"/>
            <w:vAlign w:val="bottom"/>
            <w:tcBorders>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4160" w:type="dxa"/>
            <w:vAlign w:val="bottom"/>
            <w:tcBorders>
              <w:bottom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color w:val="auto"/>
              </w:rPr>
              <w:t>Stretch</w:t>
            </w:r>
          </w:p>
        </w:tc>
        <w:tc>
          <w:tcPr>
            <w:tcW w:w="3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3"/>
        </w:trPr>
        <w:tc>
          <w:tcPr>
            <w:tcW w:w="3560" w:type="dxa"/>
            <w:vAlign w:val="bottom"/>
            <w:tcBorders>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4160" w:type="dxa"/>
            <w:vAlign w:val="bottom"/>
            <w:tcBorders>
              <w:bottom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color w:val="auto"/>
              </w:rPr>
              <w:t>Maximum</w:t>
            </w:r>
          </w:p>
        </w:tc>
        <w:tc>
          <w:tcPr>
            <w:tcW w:w="3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200" w:lineRule="exact"/>
        <w:rPr>
          <w:sz w:val="20"/>
          <w:szCs w:val="20"/>
          <w:color w:val="auto"/>
        </w:rPr>
      </w:pPr>
    </w:p>
    <w:p>
      <w:pPr>
        <w:spacing w:after="0" w:line="304"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20"/>
          <w:szCs w:val="20"/>
          <w:color w:val="auto"/>
        </w:rPr>
        <w:t>The achievement of the Company Share Price Target shall be determined based on the highest average thirty (30) consecutive trading day closing trading price of a share of Company stock occurring during the six (6)-month period ending on the Performance Period End Date, where the first day in a potential 30-day measurement period is July 2, 2029 (other than in the event of a Change in Control).</w:t>
      </w:r>
    </w:p>
    <w:p>
      <w:pPr>
        <w:spacing w:after="0" w:line="141" w:lineRule="exact"/>
        <w:rPr>
          <w:sz w:val="20"/>
          <w:szCs w:val="20"/>
          <w:color w:val="auto"/>
        </w:rPr>
      </w:pPr>
    </w:p>
    <w:p>
      <w:pPr>
        <w:ind w:right="140"/>
        <w:spacing w:after="0" w:line="311" w:lineRule="auto"/>
        <w:rPr>
          <w:sz w:val="20"/>
          <w:szCs w:val="20"/>
          <w:color w:val="auto"/>
        </w:rPr>
      </w:pPr>
      <w:r>
        <w:rPr>
          <w:rFonts w:ascii="Times New Roman" w:cs="Times New Roman" w:eastAsia="Times New Roman" w:hAnsi="Times New Roman"/>
          <w:sz w:val="20"/>
          <w:szCs w:val="20"/>
          <w:color w:val="auto"/>
        </w:rPr>
        <w:t>The Performance Multiplier will be interpolated for Company share price results between Threshold and Target, between Target and Stretch and between Stretch and Maximum.</w:t>
      </w:r>
    </w:p>
    <w:p>
      <w:pPr>
        <w:sectPr>
          <w:pgSz w:w="11900" w:h="16838" w:orient="portrait"/>
          <w:cols w:equalWidth="0" w:num="1">
            <w:col w:w="11220"/>
          </w:cols>
          <w:pgMar w:left="320" w:top="1431"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Yvonne L. Greenstreet, M.D., certify that:</w:t>
      </w:r>
    </w:p>
    <w:p>
      <w:pPr>
        <w:spacing w:after="0" w:line="117" w:lineRule="exact"/>
        <w:rPr>
          <w:sz w:val="20"/>
          <w:szCs w:val="20"/>
          <w:color w:val="auto"/>
        </w:rPr>
      </w:pPr>
    </w:p>
    <w:p>
      <w:pPr>
        <w:ind w:left="1460" w:hanging="642"/>
        <w:spacing w:after="0"/>
        <w:tabs>
          <w:tab w:leader="none" w:pos="1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Alnylam Pharmaceuticals, Inc.;</w:t>
      </w:r>
    </w:p>
    <w:p>
      <w:pPr>
        <w:spacing w:after="0" w:line="117" w:lineRule="exact"/>
        <w:rPr>
          <w:rFonts w:ascii="Times New Roman" w:cs="Times New Roman" w:eastAsia="Times New Roman" w:hAnsi="Times New Roman"/>
          <w:sz w:val="18"/>
          <w:szCs w:val="18"/>
          <w:color w:val="auto"/>
        </w:rPr>
      </w:pPr>
    </w:p>
    <w:p>
      <w:pPr>
        <w:ind w:left="1460" w:right="20" w:hanging="642"/>
        <w:spacing w:after="0" w:line="266" w:lineRule="auto"/>
        <w:tabs>
          <w:tab w:leader="none" w:pos="14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460" w:right="60" w:hanging="642"/>
        <w:spacing w:after="0" w:line="312" w:lineRule="auto"/>
        <w:tabs>
          <w:tab w:leader="none" w:pos="144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460" w:right="280" w:hanging="642"/>
        <w:spacing w:after="0" w:line="266" w:lineRule="auto"/>
        <w:tabs>
          <w:tab w:leader="none" w:pos="14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814"/>
        <w:spacing w:after="0" w:line="266" w:lineRule="auto"/>
        <w:tabs>
          <w:tab w:leader="none" w:pos="22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814"/>
        <w:spacing w:after="0" w:line="289" w:lineRule="auto"/>
        <w:tabs>
          <w:tab w:leader="none" w:pos="226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814"/>
        <w:spacing w:after="0" w:line="266" w:lineRule="auto"/>
        <w:tabs>
          <w:tab w:leader="none" w:pos="22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814"/>
        <w:spacing w:after="0" w:line="266" w:lineRule="auto"/>
        <w:tabs>
          <w:tab w:leader="none" w:pos="22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460" w:right="400" w:hanging="642"/>
        <w:spacing w:after="0" w:line="266" w:lineRule="auto"/>
        <w:tabs>
          <w:tab w:leader="none" w:pos="14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240" w:hanging="814"/>
        <w:spacing w:after="0" w:line="266" w:lineRule="auto"/>
        <w:tabs>
          <w:tab w:leader="none" w:pos="22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814"/>
        <w:spacing w:after="0" w:line="282" w:lineRule="auto"/>
        <w:tabs>
          <w:tab w:leader="none" w:pos="22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Dated: April 30, 2026</w:t>
      </w:r>
      <w:r>
        <w:rPr>
          <w:sz w:val="20"/>
          <w:szCs w:val="20"/>
          <w:color w:val="auto"/>
        </w:rPr>
        <w:tab/>
      </w:r>
      <w:r>
        <w:rPr>
          <w:rFonts w:ascii="Times New Roman" w:cs="Times New Roman" w:eastAsia="Times New Roman" w:hAnsi="Times New Roman"/>
          <w:sz w:val="17"/>
          <w:szCs w:val="17"/>
          <w:color w:val="auto"/>
        </w:rPr>
        <w:t>/s/ Yvonne L. Greenstreet,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49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Yvonne L. Greenstreet, M.D.</w:t>
      </w: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2"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V. Poulton, certify that:</w:t>
      </w:r>
    </w:p>
    <w:p>
      <w:pPr>
        <w:spacing w:after="0" w:line="117" w:lineRule="exact"/>
        <w:rPr>
          <w:sz w:val="20"/>
          <w:szCs w:val="20"/>
          <w:color w:val="auto"/>
        </w:rPr>
      </w:pPr>
    </w:p>
    <w:p>
      <w:pPr>
        <w:ind w:left="1460" w:hanging="642"/>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Alnylam Pharmaceuticals, Inc.;</w:t>
      </w:r>
    </w:p>
    <w:p>
      <w:pPr>
        <w:spacing w:after="0" w:line="117" w:lineRule="exact"/>
        <w:rPr>
          <w:rFonts w:ascii="Times New Roman" w:cs="Times New Roman" w:eastAsia="Times New Roman" w:hAnsi="Times New Roman"/>
          <w:sz w:val="18"/>
          <w:szCs w:val="18"/>
          <w:color w:val="auto"/>
        </w:rPr>
      </w:pPr>
    </w:p>
    <w:p>
      <w:pPr>
        <w:ind w:left="1460" w:right="20" w:hanging="642"/>
        <w:spacing w:after="0" w:line="266" w:lineRule="auto"/>
        <w:tabs>
          <w:tab w:leader="none" w:pos="14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460" w:right="60" w:hanging="642"/>
        <w:spacing w:after="0" w:line="312" w:lineRule="auto"/>
        <w:tabs>
          <w:tab w:leader="none" w:pos="144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460" w:right="280" w:hanging="642"/>
        <w:spacing w:after="0" w:line="266" w:lineRule="auto"/>
        <w:tabs>
          <w:tab w:leader="none" w:pos="14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814"/>
        <w:spacing w:after="0" w:line="266" w:lineRule="auto"/>
        <w:tabs>
          <w:tab w:leader="none" w:pos="22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814"/>
        <w:spacing w:after="0" w:line="289" w:lineRule="auto"/>
        <w:tabs>
          <w:tab w:leader="none" w:pos="2268"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814"/>
        <w:spacing w:after="0" w:line="266" w:lineRule="auto"/>
        <w:tabs>
          <w:tab w:leader="none" w:pos="22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814"/>
        <w:spacing w:after="0" w:line="266" w:lineRule="auto"/>
        <w:tabs>
          <w:tab w:leader="none" w:pos="226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460" w:right="400" w:hanging="642"/>
        <w:spacing w:after="0" w:line="266" w:lineRule="auto"/>
        <w:tabs>
          <w:tab w:leader="none" w:pos="14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240" w:hanging="814"/>
        <w:spacing w:after="0" w:line="266" w:lineRule="auto"/>
        <w:tabs>
          <w:tab w:leader="none" w:pos="22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814"/>
        <w:spacing w:after="0" w:line="282" w:lineRule="auto"/>
        <w:tabs>
          <w:tab w:leader="none" w:pos="226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April 30, 2026</w:t>
      </w:r>
      <w:r>
        <w:rPr>
          <w:sz w:val="20"/>
          <w:szCs w:val="20"/>
          <w:color w:val="auto"/>
        </w:rPr>
        <w:tab/>
      </w:r>
      <w:r>
        <w:rPr>
          <w:rFonts w:ascii="Times New Roman" w:cs="Times New Roman" w:eastAsia="Times New Roman" w:hAnsi="Times New Roman"/>
          <w:sz w:val="17"/>
          <w:szCs w:val="17"/>
          <w:color w:val="auto"/>
        </w:rPr>
        <w:t>/s/ Jeffrey V. Poulton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V. Poulton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ectPr>
          <w:pgSz w:w="11900" w:h="16838" w:orient="portrait"/>
          <w:cols w:equalWidth="0" w:num="1">
            <w:col w:w="11240"/>
          </w:cols>
          <w:pgMar w:left="320" w:top="1062"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Alnylam Pharmaceuticals, Inc. (the “Company”) for the quarter ended March 31, 2026 as filed with the Securities and Exchange Commission on the date hereof (the “Report”), the undersigned, Yvonne L. Greenstreet, M.D., Chief Executive Officer of the Company, hereby certifies, pursuant to Section 1350 of Chapter 63 of Title 18, United States Code, that to her knowledge:</w:t>
      </w:r>
    </w:p>
    <w:p>
      <w:pPr>
        <w:spacing w:after="0" w:line="61" w:lineRule="exact"/>
        <w:rPr>
          <w:sz w:val="20"/>
          <w:szCs w:val="20"/>
          <w:color w:val="auto"/>
        </w:rPr>
      </w:pPr>
    </w:p>
    <w:p>
      <w:pPr>
        <w:ind w:left="1040" w:hanging="384"/>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380" w:right="600" w:hanging="724"/>
        <w:spacing w:after="0" w:line="282" w:lineRule="auto"/>
        <w:tabs>
          <w:tab w:leader="none" w:pos="10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Dated: April 30, 2026</w:t>
      </w:r>
      <w:r>
        <w:rPr>
          <w:sz w:val="20"/>
          <w:szCs w:val="20"/>
          <w:color w:val="auto"/>
        </w:rPr>
        <w:tab/>
      </w:r>
      <w:r>
        <w:rPr>
          <w:rFonts w:ascii="Times New Roman" w:cs="Times New Roman" w:eastAsia="Times New Roman" w:hAnsi="Times New Roman"/>
          <w:sz w:val="17"/>
          <w:szCs w:val="17"/>
          <w:color w:val="auto"/>
        </w:rPr>
        <w:t>/s/ Yvonne L. Greenstreet,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49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Yvonne L. Greenstreet, M.D.</w:t>
      </w: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Alnylam Pharmaceuticals, Inc. (the “Company”) for the quarter ended March 31, 2026 as filed with the Securities and Exchange Commission on the date hereof (the “Report”), the undersigned, Jeffrey V. Poulton, Executive Vice President, Chief Financial Officer, hereby certifies, pursuant to Section 1350 of Chapter 63 of Title 18, United States Code, that to his knowledge:</w:t>
      </w:r>
    </w:p>
    <w:p>
      <w:pPr>
        <w:spacing w:after="0" w:line="61" w:lineRule="exact"/>
        <w:rPr>
          <w:sz w:val="20"/>
          <w:szCs w:val="20"/>
          <w:color w:val="auto"/>
        </w:rPr>
      </w:pPr>
    </w:p>
    <w:p>
      <w:pPr>
        <w:ind w:left="1040" w:hanging="384"/>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380" w:right="600" w:hanging="724"/>
        <w:spacing w:after="0" w:line="282" w:lineRule="auto"/>
        <w:tabs>
          <w:tab w:leader="none" w:pos="10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April 30, 2026</w:t>
      </w:r>
      <w:r>
        <w:rPr>
          <w:sz w:val="20"/>
          <w:szCs w:val="20"/>
          <w:color w:val="auto"/>
        </w:rPr>
        <w:tab/>
      </w:r>
      <w:r>
        <w:rPr>
          <w:rFonts w:ascii="Times New Roman" w:cs="Times New Roman" w:eastAsia="Times New Roman" w:hAnsi="Times New Roman"/>
          <w:sz w:val="17"/>
          <w:szCs w:val="17"/>
          <w:color w:val="auto"/>
        </w:rPr>
        <w:t>/s/ Jeffrey V. Poulton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V. Poulton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5"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9"/>
    </w:lvl>
  </w:abstractNum>
  <w:abstractNum w:abstractNumId="5">
    <w:nsid w:val="5577F8E1"/>
    <w:multiLevelType w:val="hybridMultilevel"/>
    <w:lvl w:ilvl="0">
      <w:lvlJc w:val="left"/>
      <w:lvlText w:val="%1."/>
      <w:numFmt w:val="decimal"/>
      <w:start w:val="12"/>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lvl w:ilvl="1">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04"/>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53">
    <w:nsid w:val="354FE9F9"/>
    <w:multiLevelType w:val="hybridMultilevel"/>
    <w:lvl w:ilvl="0">
      <w:lvlJc w:val="left"/>
      <w:lvlText w:val="(%1)"/>
      <w:numFmt w:val="lowerLetter"/>
      <w:start w:val="3"/>
    </w:lvl>
  </w:abstractNum>
  <w:abstractNum w:abstractNumId="54">
    <w:nsid w:val="15B5AF5C"/>
    <w:multiLevelType w:val="hybridMultilevel"/>
    <w:lvl w:ilvl="0">
      <w:lvlJc w:val="left"/>
      <w:lvlText w:val="%1."/>
      <w:numFmt w:val="decimal"/>
      <w:start w:val="3"/>
    </w:lvl>
    <w:lvl w:ilvl="1">
      <w:lvlJc w:val="left"/>
      <w:lvlText w:val="-"/>
      <w:numFmt w:val="bullet"/>
      <w:start w:val="1"/>
    </w:lvl>
  </w:abstractNum>
  <w:abstractNum w:abstractNumId="55">
    <w:nsid w:val="741226BB"/>
    <w:multiLevelType w:val="hybridMultilevel"/>
    <w:lvl w:ilvl="0">
      <w:lvlJc w:val="left"/>
      <w:lvlText w:val="%1."/>
      <w:numFmt w:val="decimal"/>
      <w:start w:val="5"/>
    </w:lvl>
    <w:lvl w:ilvl="1">
      <w:lvlJc w:val="left"/>
      <w:lvlText w:val="-"/>
      <w:numFmt w:val="bullet"/>
      <w:start w:val="1"/>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lowerRoman"/>
      <w:start w:val="1"/>
    </w:lvl>
    <w:lvl w:ilvl="1">
      <w:lvlJc w:val="left"/>
      <w:lvlText w:val="(%2)"/>
      <w:numFmt w:val="lowerLetter"/>
      <w:start w:val="3"/>
    </w:lvl>
    <w:lvl w:ilvl="2">
      <w:lvlJc w:val="left"/>
      <w:lvlText w:val="-"/>
      <w:numFmt w:val="bullet"/>
      <w:start w:val="1"/>
    </w:lvl>
  </w:abstractNum>
  <w:abstractNum w:abstractNumId="58">
    <w:nsid w:val="3F6AB60F"/>
    <w:multiLevelType w:val="hybridMultilevel"/>
    <w:lvl w:ilvl="0">
      <w:lvlJc w:val="left"/>
      <w:lvlText w:val="(%1)"/>
      <w:numFmt w:val="lowerRoman"/>
      <w:start w:val="6"/>
    </w:lvl>
    <w:lvl w:ilvl="1">
      <w:lvlJc w:val="left"/>
      <w:lvlText w:val="(%2)"/>
      <w:numFmt w:val="lowerLetter"/>
      <w:start w:val="5"/>
    </w:lvl>
    <w:lvl w:ilvl="2">
      <w:lvlJc w:val="left"/>
      <w:lvlText w:val="-"/>
      <w:numFmt w:val="bullet"/>
      <w:start w:val="1"/>
    </w:lvl>
  </w:abstractNum>
  <w:abstractNum w:abstractNumId="59">
    <w:nsid w:val="61574095"/>
    <w:multiLevelType w:val="hybridMultilevel"/>
    <w:lvl w:ilvl="0">
      <w:lvlJc w:val="left"/>
      <w:lvlText w:val="%1."/>
      <w:numFmt w:val="decimal"/>
      <w:start w:val="12"/>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2026-04-30T07:24:19Z</dcterms:created>
  <dcterms:modified xsi:type="dcterms:W3CDTF">2026-04-30T07:24:19Z</dcterms:modified>
</cp:coreProperties>
</file>