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Alnylam Pharmaceuticals,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763270</wp:posOffset>
            </wp:positionV>
            <wp:extent cx="6998970" cy="492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49276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208280</wp:posOffset>
            </wp:positionV>
            <wp:extent cx="1525905" cy="403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590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38"/>
          <w:szCs w:val="38"/>
          <w:b w:val="1"/>
          <w:bCs w:val="1"/>
          <w:color w:val="2275B5"/>
        </w:rPr>
        <w:t>LETTER FROM OUR CEO</w:t>
      </w: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April 1, 2024</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To our Stockholders:</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20"/>
          <w:szCs w:val="20"/>
          <w:color w:val="auto"/>
        </w:rPr>
        <w:t xml:space="preserve">We invite you to attend the 2024 Annual Meeting of Stockholders of Alnylam Pharmaceuticals, Inc., which will be held online on Thursday, May 16, 2024, beginning at 10:30 a.m., Eastern Time. You may attend the meeting virtually via the Internet at </w:t>
      </w:r>
      <w:r>
        <w:rPr>
          <w:rFonts w:ascii="Arial" w:cs="Arial" w:eastAsia="Arial" w:hAnsi="Arial"/>
          <w:sz w:val="20"/>
          <w:szCs w:val="20"/>
          <w:i w:val="1"/>
          <w:iCs w:val="1"/>
          <w:u w:val="single" w:color="auto"/>
          <w:color w:val="2275B5"/>
        </w:rPr>
        <w:t>www.virtualshareholdermeeting.com/ALNY2024</w:t>
      </w:r>
      <w:r>
        <w:rPr>
          <w:rFonts w:ascii="Arial" w:cs="Arial" w:eastAsia="Arial" w:hAnsi="Arial"/>
          <w:sz w:val="20"/>
          <w:szCs w:val="20"/>
          <w:color w:val="auto"/>
        </w:rPr>
        <w:t>, where you will be able to vote electronically and submit questions. You will need the 16-digit control number included with these proxy materials to attend the annual meeting.</w:t>
      </w:r>
    </w:p>
    <w:p>
      <w:pPr>
        <w:spacing w:after="0" w:line="172"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20"/>
          <w:szCs w:val="20"/>
          <w:color w:val="auto"/>
        </w:rPr>
        <w:t>The following notice of our annual meeting of stockholders contains details of the business to be conducted at the meeting. Only stockholders of record at the close of business on March 22, 2024 will be entitled to notice of, and to vote at, the annual meeting.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On behalf of our Board of Directors, thank you for your continued support of Alnylam.</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1080135"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01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Yvonne L. Greenstreet, MBChB, MBA</w:t>
      </w:r>
    </w:p>
    <w:p>
      <w:pPr>
        <w:ind w:left="120"/>
        <w:spacing w:after="0" w:line="229" w:lineRule="auto"/>
        <w:rPr>
          <w:sz w:val="20"/>
          <w:szCs w:val="20"/>
          <w:color w:val="auto"/>
        </w:rPr>
      </w:pPr>
      <w:r>
        <w:rPr>
          <w:rFonts w:ascii="Arial" w:cs="Arial" w:eastAsia="Arial" w:hAnsi="Arial"/>
          <w:sz w:val="20"/>
          <w:szCs w:val="20"/>
          <w:i w:val="1"/>
          <w:iCs w:val="1"/>
          <w:color w:val="auto"/>
        </w:rPr>
        <w:t>Chief Executive Officer and Director</w:t>
      </w:r>
    </w:p>
    <w:p>
      <w:pPr>
        <w:ind w:left="120"/>
        <w:spacing w:after="0" w:line="226" w:lineRule="auto"/>
        <w:rPr>
          <w:sz w:val="20"/>
          <w:szCs w:val="20"/>
          <w:color w:val="auto"/>
        </w:rPr>
      </w:pPr>
      <w:r>
        <w:rPr>
          <w:rFonts w:ascii="Arial" w:cs="Arial" w:eastAsia="Arial" w:hAnsi="Arial"/>
          <w:sz w:val="20"/>
          <w:szCs w:val="20"/>
          <w:color w:val="auto"/>
        </w:rPr>
        <w:t>On behalf of the Board of Directors of</w:t>
      </w:r>
    </w:p>
    <w:p>
      <w:pPr>
        <w:ind w:left="120"/>
        <w:spacing w:after="0"/>
        <w:rPr>
          <w:sz w:val="20"/>
          <w:szCs w:val="20"/>
          <w:color w:val="auto"/>
        </w:rPr>
      </w:pPr>
      <w:r>
        <w:rPr>
          <w:rFonts w:ascii="Arial" w:cs="Arial" w:eastAsia="Arial" w:hAnsi="Arial"/>
          <w:sz w:val="20"/>
          <w:szCs w:val="20"/>
          <w:color w:val="auto"/>
        </w:rPr>
        <w:t>Alnylam Pharmaceuticals, Inc.</w:t>
      </w:r>
    </w:p>
    <w:p>
      <w:pPr>
        <w:sectPr>
          <w:pgSz w:w="11900" w:h="16838" w:orient="portrait"/>
          <w:cols w:equalWidth="0" w:num="1">
            <w:col w:w="10920"/>
          </w:cols>
          <w:pgMar w:left="320" w:top="482"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208280</wp:posOffset>
            </wp:positionV>
            <wp:extent cx="1525905" cy="403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590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30" w:type="dxa"/>
        <w:tblCellMar>
          <w:top w:w="0" w:type="dxa"/>
          <w:left w:w="0" w:type="dxa"/>
          <w:bottom w:w="0" w:type="dxa"/>
          <w:right w:w="0" w:type="dxa"/>
        </w:tblCellMar>
      </w:tblPr>
      <w:tr>
        <w:trPr>
          <w:trHeight w:val="555"/>
        </w:trPr>
        <w:tc>
          <w:tcPr>
            <w:tcW w:w="2000" w:type="dxa"/>
            <w:vAlign w:val="bottom"/>
            <w:tcBorders>
              <w:top w:val="single" w:sz="8" w:color="auto"/>
              <w:left w:val="single" w:sz="8" w:color="auto"/>
            </w:tcBorders>
          </w:tcPr>
          <w:p>
            <w:pPr>
              <w:spacing w:after="0"/>
              <w:rPr>
                <w:sz w:val="24"/>
                <w:szCs w:val="24"/>
                <w:color w:val="auto"/>
              </w:rPr>
            </w:pPr>
          </w:p>
        </w:tc>
        <w:tc>
          <w:tcPr>
            <w:tcW w:w="9020" w:type="dxa"/>
            <w:vAlign w:val="bottom"/>
            <w:tcBorders>
              <w:top w:val="single" w:sz="8" w:color="auto"/>
              <w:right w:val="single" w:sz="8" w:color="auto"/>
            </w:tcBorders>
            <w:gridSpan w:val="5"/>
          </w:tcPr>
          <w:p>
            <w:pPr>
              <w:ind w:left="240"/>
              <w:spacing w:after="0"/>
              <w:rPr>
                <w:sz w:val="20"/>
                <w:szCs w:val="20"/>
                <w:color w:val="auto"/>
              </w:rPr>
            </w:pPr>
            <w:r>
              <w:rPr>
                <w:rFonts w:ascii="Arial" w:cs="Arial" w:eastAsia="Arial" w:hAnsi="Arial"/>
                <w:sz w:val="38"/>
                <w:szCs w:val="38"/>
                <w:b w:val="1"/>
                <w:bCs w:val="1"/>
                <w:color w:val="2275B5"/>
              </w:rPr>
              <w:t>NOTICE OF 2024 ANNUAL MEETING</w:t>
            </w:r>
          </w:p>
        </w:tc>
        <w:tc>
          <w:tcPr>
            <w:tcW w:w="0" w:type="dxa"/>
            <w:vAlign w:val="bottom"/>
          </w:tcPr>
          <w:p>
            <w:pPr>
              <w:spacing w:after="0"/>
              <w:rPr>
                <w:sz w:val="1"/>
                <w:szCs w:val="1"/>
                <w:color w:val="auto"/>
              </w:rPr>
            </w:pPr>
          </w:p>
        </w:tc>
      </w:tr>
      <w:tr>
        <w:trPr>
          <w:trHeight w:val="520"/>
        </w:trPr>
        <w:tc>
          <w:tcPr>
            <w:tcW w:w="2000" w:type="dxa"/>
            <w:vAlign w:val="bottom"/>
            <w:tcBorders>
              <w:lef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7940" w:type="dxa"/>
            <w:vAlign w:val="bottom"/>
            <w:tcBorders>
              <w:right w:val="single" w:sz="8" w:color="auto"/>
            </w:tcBorders>
            <w:gridSpan w:val="4"/>
          </w:tcPr>
          <w:p>
            <w:pPr>
              <w:ind w:left="520"/>
              <w:spacing w:after="0"/>
              <w:rPr>
                <w:sz w:val="20"/>
                <w:szCs w:val="20"/>
                <w:color w:val="auto"/>
              </w:rPr>
            </w:pPr>
            <w:r>
              <w:rPr>
                <w:rFonts w:ascii="Arial" w:cs="Arial" w:eastAsia="Arial" w:hAnsi="Arial"/>
                <w:sz w:val="38"/>
                <w:szCs w:val="38"/>
                <w:b w:val="1"/>
                <w:bCs w:val="1"/>
                <w:color w:val="2275B5"/>
              </w:rPr>
              <w:t>OF STOCKHOLDERS</w:t>
            </w:r>
          </w:p>
        </w:tc>
        <w:tc>
          <w:tcPr>
            <w:tcW w:w="0" w:type="dxa"/>
            <w:vAlign w:val="bottom"/>
          </w:tcPr>
          <w:p>
            <w:pPr>
              <w:spacing w:after="0"/>
              <w:rPr>
                <w:sz w:val="1"/>
                <w:szCs w:val="1"/>
                <w:color w:val="auto"/>
              </w:rPr>
            </w:pPr>
          </w:p>
        </w:tc>
      </w:tr>
      <w:tr>
        <w:trPr>
          <w:trHeight w:val="113"/>
        </w:trPr>
        <w:tc>
          <w:tcPr>
            <w:tcW w:w="2000" w:type="dxa"/>
            <w:vAlign w:val="bottom"/>
            <w:tcBorders>
              <w:left w:val="single" w:sz="8" w:color="auto"/>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00" w:type="dxa"/>
            <w:vAlign w:val="bottom"/>
          </w:tcPr>
          <w:p>
            <w:pPr>
              <w:spacing w:after="0"/>
              <w:rPr>
                <w:sz w:val="20"/>
                <w:szCs w:val="20"/>
                <w:color w:val="auto"/>
              </w:rPr>
            </w:pPr>
            <w:r>
              <w:rPr>
                <w:rFonts w:ascii="Arial" w:cs="Arial" w:eastAsia="Arial" w:hAnsi="Arial"/>
                <w:sz w:val="20"/>
                <w:szCs w:val="20"/>
                <w:b w:val="1"/>
                <w:bCs w:val="1"/>
                <w:color w:val="1D3060"/>
              </w:rPr>
              <w:t>Date:</w:t>
            </w:r>
          </w:p>
        </w:tc>
        <w:tc>
          <w:tcPr>
            <w:tcW w:w="1080" w:type="dxa"/>
            <w:vAlign w:val="bottom"/>
          </w:tcPr>
          <w:p>
            <w:pPr>
              <w:spacing w:after="0"/>
              <w:rPr>
                <w:sz w:val="24"/>
                <w:szCs w:val="24"/>
                <w:color w:val="auto"/>
              </w:rPr>
            </w:pPr>
          </w:p>
        </w:tc>
        <w:tc>
          <w:tcPr>
            <w:tcW w:w="7940" w:type="dxa"/>
            <w:vAlign w:val="bottom"/>
            <w:gridSpan w:val="4"/>
          </w:tcPr>
          <w:p>
            <w:pPr>
              <w:spacing w:after="0"/>
              <w:rPr>
                <w:sz w:val="20"/>
                <w:szCs w:val="20"/>
                <w:color w:val="auto"/>
              </w:rPr>
            </w:pPr>
            <w:r>
              <w:rPr>
                <w:rFonts w:ascii="Arial" w:cs="Arial" w:eastAsia="Arial" w:hAnsi="Arial"/>
                <w:sz w:val="20"/>
                <w:szCs w:val="20"/>
                <w:color w:val="auto"/>
              </w:rPr>
              <w:t>Thursday, May 16, 2024</w:t>
            </w:r>
          </w:p>
        </w:tc>
        <w:tc>
          <w:tcPr>
            <w:tcW w:w="0" w:type="dxa"/>
            <w:vAlign w:val="bottom"/>
          </w:tcPr>
          <w:p>
            <w:pPr>
              <w:spacing w:after="0"/>
              <w:rPr>
                <w:sz w:val="1"/>
                <w:szCs w:val="1"/>
                <w:color w:val="auto"/>
              </w:rPr>
            </w:pPr>
          </w:p>
        </w:tc>
      </w:tr>
      <w:tr>
        <w:trPr>
          <w:trHeight w:val="216"/>
        </w:trPr>
        <w:tc>
          <w:tcPr>
            <w:tcW w:w="2000" w:type="dxa"/>
            <w:vAlign w:val="bottom"/>
          </w:tcPr>
          <w:p>
            <w:pPr>
              <w:spacing w:after="0" w:line="216" w:lineRule="exact"/>
              <w:rPr>
                <w:sz w:val="20"/>
                <w:szCs w:val="20"/>
                <w:color w:val="auto"/>
              </w:rPr>
            </w:pPr>
            <w:r>
              <w:rPr>
                <w:rFonts w:ascii="Arial" w:cs="Arial" w:eastAsia="Arial" w:hAnsi="Arial"/>
                <w:sz w:val="20"/>
                <w:szCs w:val="20"/>
                <w:b w:val="1"/>
                <w:bCs w:val="1"/>
                <w:color w:val="1D3060"/>
              </w:rPr>
              <w:t>Time:</w:t>
            </w: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color w:val="auto"/>
              </w:rPr>
              <w:t>10:30 a.m., Eastern Time</w:t>
            </w:r>
          </w:p>
        </w:tc>
        <w:tc>
          <w:tcPr>
            <w:tcW w:w="0" w:type="dxa"/>
            <w:vAlign w:val="bottom"/>
          </w:tcPr>
          <w:p>
            <w:pPr>
              <w:spacing w:after="0"/>
              <w:rPr>
                <w:sz w:val="1"/>
                <w:szCs w:val="1"/>
                <w:color w:val="auto"/>
              </w:rPr>
            </w:pPr>
          </w:p>
        </w:tc>
      </w:tr>
      <w:tr>
        <w:trPr>
          <w:trHeight w:val="213"/>
        </w:trPr>
        <w:tc>
          <w:tcPr>
            <w:tcW w:w="2000" w:type="dxa"/>
            <w:vAlign w:val="bottom"/>
          </w:tcPr>
          <w:p>
            <w:pPr>
              <w:spacing w:after="0" w:line="212" w:lineRule="exact"/>
              <w:rPr>
                <w:sz w:val="20"/>
                <w:szCs w:val="20"/>
                <w:color w:val="auto"/>
              </w:rPr>
            </w:pPr>
            <w:r>
              <w:rPr>
                <w:rFonts w:ascii="Arial" w:cs="Arial" w:eastAsia="Arial" w:hAnsi="Arial"/>
                <w:sz w:val="20"/>
                <w:szCs w:val="20"/>
                <w:b w:val="1"/>
                <w:bCs w:val="1"/>
                <w:color w:val="1D3060"/>
              </w:rPr>
              <w:t>Place:</w:t>
            </w:r>
          </w:p>
        </w:tc>
        <w:tc>
          <w:tcPr>
            <w:tcW w:w="1080" w:type="dxa"/>
            <w:vAlign w:val="bottom"/>
          </w:tcPr>
          <w:p>
            <w:pPr>
              <w:spacing w:after="0"/>
              <w:rPr>
                <w:sz w:val="18"/>
                <w:szCs w:val="18"/>
                <w:color w:val="auto"/>
              </w:rPr>
            </w:pPr>
          </w:p>
        </w:tc>
        <w:tc>
          <w:tcPr>
            <w:tcW w:w="7940" w:type="dxa"/>
            <w:vAlign w:val="bottom"/>
            <w:gridSpan w:val="4"/>
          </w:tcPr>
          <w:p>
            <w:pPr>
              <w:spacing w:after="0" w:line="212" w:lineRule="exact"/>
              <w:rPr>
                <w:sz w:val="20"/>
                <w:szCs w:val="20"/>
                <w:color w:val="auto"/>
              </w:rPr>
            </w:pPr>
            <w:r>
              <w:rPr>
                <w:rFonts w:ascii="Arial" w:cs="Arial" w:eastAsia="Arial" w:hAnsi="Arial"/>
                <w:sz w:val="20"/>
                <w:szCs w:val="20"/>
                <w:color w:val="auto"/>
              </w:rPr>
              <w:t xml:space="preserve">Online at </w:t>
            </w:r>
            <w:r>
              <w:rPr>
                <w:rFonts w:ascii="Arial" w:cs="Arial" w:eastAsia="Arial" w:hAnsi="Arial"/>
                <w:sz w:val="20"/>
                <w:szCs w:val="20"/>
                <w:i w:val="1"/>
                <w:iCs w:val="1"/>
                <w:color w:val="2275B5"/>
              </w:rPr>
              <w:t>www.virtualshareholdermeeting.com/ALNY2024</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line="222" w:lineRule="exact"/>
              <w:rPr>
                <w:sz w:val="20"/>
                <w:szCs w:val="20"/>
                <w:color w:val="auto"/>
              </w:rPr>
            </w:pPr>
            <w:r>
              <w:rPr>
                <w:rFonts w:ascii="Arial" w:cs="Arial" w:eastAsia="Arial" w:hAnsi="Arial"/>
                <w:sz w:val="20"/>
                <w:szCs w:val="20"/>
                <w:b w:val="1"/>
                <w:bCs w:val="1"/>
                <w:color w:val="1D3060"/>
              </w:rPr>
              <w:t>Record Date:</w:t>
            </w:r>
          </w:p>
        </w:tc>
        <w:tc>
          <w:tcPr>
            <w:tcW w:w="1080" w:type="dxa"/>
            <w:vAlign w:val="bottom"/>
            <w:vMerge w:val="restart"/>
          </w:tcPr>
          <w:p>
            <w:pPr>
              <w:spacing w:after="0" w:line="20" w:lineRule="exact"/>
              <w:rPr>
                <w:sz w:val="1"/>
                <w:szCs w:val="1"/>
                <w:color w:val="auto"/>
              </w:rPr>
            </w:pPr>
          </w:p>
        </w:tc>
        <w:tc>
          <w:tcPr>
            <w:tcW w:w="860" w:type="dxa"/>
            <w:vAlign w:val="bottom"/>
            <w:vMerge w:val="restart"/>
          </w:tcPr>
          <w:p>
            <w:pPr>
              <w:spacing w:after="0" w:line="222" w:lineRule="exact"/>
              <w:rPr>
                <w:sz w:val="20"/>
                <w:szCs w:val="20"/>
                <w:color w:val="auto"/>
              </w:rPr>
            </w:pPr>
            <w:r>
              <w:rPr>
                <w:rFonts w:ascii="Arial" w:cs="Arial" w:eastAsia="Arial" w:hAnsi="Arial"/>
                <w:sz w:val="20"/>
                <w:szCs w:val="20"/>
                <w:color w:val="auto"/>
                <w:w w:val="94"/>
              </w:rPr>
              <w:t>March 22,</w:t>
            </w:r>
          </w:p>
        </w:tc>
        <w:tc>
          <w:tcPr>
            <w:tcW w:w="3340" w:type="dxa"/>
            <w:vAlign w:val="bottom"/>
            <w:shd w:val="clear" w:color="auto" w:fill="2275B5"/>
          </w:tcPr>
          <w:p>
            <w:pPr>
              <w:spacing w:after="0" w:line="20" w:lineRule="exact"/>
              <w:rPr>
                <w:sz w:val="1"/>
                <w:szCs w:val="1"/>
                <w:color w:val="auto"/>
              </w:rPr>
            </w:pPr>
          </w:p>
        </w:tc>
        <w:tc>
          <w:tcPr>
            <w:tcW w:w="840" w:type="dxa"/>
            <w:vAlign w:val="bottom"/>
            <w:shd w:val="clear" w:color="auto" w:fill="2275B5"/>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080" w:type="dxa"/>
            <w:vAlign w:val="bottom"/>
            <w:gridSpan w:val="3"/>
          </w:tcPr>
          <w:p>
            <w:pPr>
              <w:ind w:left="80"/>
              <w:spacing w:after="0" w:line="202" w:lineRule="exact"/>
              <w:rPr>
                <w:sz w:val="20"/>
                <w:szCs w:val="20"/>
                <w:color w:val="auto"/>
              </w:rPr>
            </w:pPr>
            <w:r>
              <w:rPr>
                <w:rFonts w:ascii="Arial" w:cs="Arial" w:eastAsia="Arial" w:hAnsi="Arial"/>
                <w:sz w:val="20"/>
                <w:szCs w:val="20"/>
                <w:color w:val="auto"/>
              </w:rPr>
              <w:t>2024. Only Alnylam stockholders of record at the close of business on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color w:val="auto"/>
              </w:rPr>
              <w:t>record date for the annual meeting are entitled to notice of, and to vote at, the annual</w:t>
            </w: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20"/>
                <w:szCs w:val="20"/>
                <w:color w:val="auto"/>
              </w:rPr>
            </w:pPr>
            <w:r>
              <w:rPr>
                <w:rFonts w:ascii="Arial" w:cs="Arial" w:eastAsia="Arial" w:hAnsi="Arial"/>
                <w:sz w:val="20"/>
                <w:szCs w:val="20"/>
                <w:b w:val="1"/>
                <w:bCs w:val="1"/>
                <w:color w:val="1D3060"/>
              </w:rPr>
              <w:t>Items of Business:</w:t>
            </w: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color w:val="auto"/>
              </w:rPr>
              <w:t>meeting or any adjournment or postponement thereof.</w:t>
            </w: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color w:val="auto"/>
              </w:rPr>
              <w:t>1.    To elect four (4) members to our board of directors, as nominated by our board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ind w:left="400"/>
              <w:spacing w:after="0" w:line="216" w:lineRule="exact"/>
              <w:rPr>
                <w:sz w:val="20"/>
                <w:szCs w:val="20"/>
                <w:color w:val="auto"/>
              </w:rPr>
            </w:pPr>
            <w:r>
              <w:rPr>
                <w:rFonts w:ascii="Arial" w:cs="Arial" w:eastAsia="Arial" w:hAnsi="Arial"/>
                <w:sz w:val="20"/>
                <w:szCs w:val="20"/>
                <w:color w:val="auto"/>
              </w:rPr>
              <w:t>directors, each to serve as a Class II director for a term ending in 2027, or until a</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ind w:left="400"/>
              <w:spacing w:after="0" w:line="216" w:lineRule="exact"/>
              <w:rPr>
                <w:sz w:val="20"/>
                <w:szCs w:val="20"/>
                <w:color w:val="auto"/>
              </w:rPr>
            </w:pPr>
            <w:r>
              <w:rPr>
                <w:rFonts w:ascii="Arial" w:cs="Arial" w:eastAsia="Arial" w:hAnsi="Arial"/>
                <w:sz w:val="20"/>
                <w:szCs w:val="20"/>
                <w:color w:val="auto"/>
              </w:rPr>
              <w:t>successor has been duly elected and qualified;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color w:val="auto"/>
              </w:rPr>
              <w:t>2.    To approve, on a non-binding advisory basis, the compensation of our named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ind w:left="400"/>
              <w:spacing w:after="0" w:line="216" w:lineRule="exact"/>
              <w:rPr>
                <w:sz w:val="20"/>
                <w:szCs w:val="20"/>
                <w:color w:val="auto"/>
              </w:rPr>
            </w:pPr>
            <w:r>
              <w:rPr>
                <w:rFonts w:ascii="Arial" w:cs="Arial" w:eastAsia="Arial" w:hAnsi="Arial"/>
                <w:sz w:val="20"/>
                <w:szCs w:val="20"/>
                <w:color w:val="auto"/>
              </w:rPr>
              <w:t>executive officers, as described in the “Compensation Discussion and Analysis,”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ind w:left="400"/>
              <w:spacing w:after="0" w:line="216" w:lineRule="exact"/>
              <w:rPr>
                <w:sz w:val="20"/>
                <w:szCs w:val="20"/>
                <w:color w:val="auto"/>
              </w:rPr>
            </w:pPr>
            <w:r>
              <w:rPr>
                <w:rFonts w:ascii="Arial" w:cs="Arial" w:eastAsia="Arial" w:hAnsi="Arial"/>
                <w:sz w:val="20"/>
                <w:szCs w:val="20"/>
                <w:color w:val="auto"/>
              </w:rPr>
              <w:t>executive compensation tables and accompanying narrative disclosures in this proxy</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ind w:left="400"/>
              <w:spacing w:after="0" w:line="216" w:lineRule="exact"/>
              <w:rPr>
                <w:sz w:val="20"/>
                <w:szCs w:val="20"/>
                <w:color w:val="auto"/>
              </w:rPr>
            </w:pPr>
            <w:r>
              <w:rPr>
                <w:rFonts w:ascii="Arial" w:cs="Arial" w:eastAsia="Arial" w:hAnsi="Arial"/>
                <w:sz w:val="20"/>
                <w:szCs w:val="20"/>
                <w:color w:val="auto"/>
              </w:rPr>
              <w:t>statement;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color w:val="auto"/>
                <w:w w:val="97"/>
              </w:rPr>
              <w:t>3.    To ratify the appointment of PricewaterhouseCoopers LLP, an independent registered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ind w:left="400"/>
              <w:spacing w:after="0" w:line="216" w:lineRule="exact"/>
              <w:rPr>
                <w:sz w:val="20"/>
                <w:szCs w:val="20"/>
                <w:color w:val="auto"/>
              </w:rPr>
            </w:pPr>
            <w:r>
              <w:rPr>
                <w:rFonts w:ascii="Arial" w:cs="Arial" w:eastAsia="Arial" w:hAnsi="Arial"/>
                <w:sz w:val="20"/>
                <w:szCs w:val="20"/>
                <w:color w:val="auto"/>
              </w:rPr>
              <w:t>public accounting firm, as our independent auditors for the fiscal year ending</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ind w:left="400"/>
              <w:spacing w:after="0" w:line="216" w:lineRule="exact"/>
              <w:rPr>
                <w:sz w:val="20"/>
                <w:szCs w:val="20"/>
                <w:color w:val="auto"/>
              </w:rPr>
            </w:pPr>
            <w:r>
              <w:rPr>
                <w:rFonts w:ascii="Arial" w:cs="Arial" w:eastAsia="Arial" w:hAnsi="Arial"/>
                <w:sz w:val="20"/>
                <w:szCs w:val="20"/>
                <w:color w:val="auto"/>
              </w:rPr>
              <w:t>December 31, 2024; and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color w:val="auto"/>
                <w:w w:val="98"/>
              </w:rPr>
              <w:t>4.    To transact any other business that may properly come before the annual meeting or</w:t>
            </w:r>
          </w:p>
        </w:tc>
        <w:tc>
          <w:tcPr>
            <w:tcW w:w="0" w:type="dxa"/>
            <w:vAlign w:val="bottom"/>
          </w:tcPr>
          <w:p>
            <w:pPr>
              <w:spacing w:after="0"/>
              <w:rPr>
                <w:sz w:val="1"/>
                <w:szCs w:val="1"/>
                <w:color w:val="auto"/>
              </w:rPr>
            </w:pPr>
          </w:p>
        </w:tc>
      </w:tr>
      <w:tr>
        <w:trPr>
          <w:trHeight w:val="216"/>
        </w:trPr>
        <w:tc>
          <w:tcPr>
            <w:tcW w:w="2000" w:type="dxa"/>
            <w:vAlign w:val="bottom"/>
            <w:vMerge w:val="restart"/>
          </w:tcPr>
          <w:p>
            <w:pPr>
              <w:spacing w:after="0"/>
              <w:rPr>
                <w:sz w:val="20"/>
                <w:szCs w:val="20"/>
                <w:color w:val="auto"/>
              </w:rPr>
            </w:pPr>
            <w:r>
              <w:rPr>
                <w:rFonts w:ascii="Arial" w:cs="Arial" w:eastAsia="Arial" w:hAnsi="Arial"/>
                <w:sz w:val="20"/>
                <w:szCs w:val="20"/>
                <w:b w:val="1"/>
                <w:bCs w:val="1"/>
                <w:color w:val="1D3060"/>
              </w:rPr>
              <w:t>Virtual Meeting:</w:t>
            </w:r>
          </w:p>
        </w:tc>
        <w:tc>
          <w:tcPr>
            <w:tcW w:w="1080" w:type="dxa"/>
            <w:vAlign w:val="bottom"/>
          </w:tcPr>
          <w:p>
            <w:pPr>
              <w:spacing w:after="0"/>
              <w:rPr>
                <w:sz w:val="18"/>
                <w:szCs w:val="18"/>
                <w:color w:val="auto"/>
              </w:rPr>
            </w:pPr>
          </w:p>
        </w:tc>
        <w:tc>
          <w:tcPr>
            <w:tcW w:w="7940" w:type="dxa"/>
            <w:vAlign w:val="bottom"/>
            <w:gridSpan w:val="4"/>
          </w:tcPr>
          <w:p>
            <w:pPr>
              <w:ind w:left="400"/>
              <w:spacing w:after="0" w:line="216" w:lineRule="exact"/>
              <w:rPr>
                <w:sz w:val="20"/>
                <w:szCs w:val="20"/>
                <w:color w:val="auto"/>
              </w:rPr>
            </w:pPr>
            <w:r>
              <w:rPr>
                <w:rFonts w:ascii="Arial" w:cs="Arial" w:eastAsia="Arial" w:hAnsi="Arial"/>
                <w:sz w:val="20"/>
                <w:szCs w:val="20"/>
                <w:color w:val="auto"/>
              </w:rPr>
              <w:t>any adjournment or postponement thereof.</w:t>
            </w: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color w:val="auto"/>
              </w:rPr>
              <w:t>To participate in the annual meeting virtually via the Internet, please visit</w:t>
            </w:r>
          </w:p>
        </w:tc>
        <w:tc>
          <w:tcPr>
            <w:tcW w:w="0" w:type="dxa"/>
            <w:vAlign w:val="bottom"/>
          </w:tcPr>
          <w:p>
            <w:pPr>
              <w:spacing w:after="0"/>
              <w:rPr>
                <w:sz w:val="1"/>
                <w:szCs w:val="1"/>
                <w:color w:val="auto"/>
              </w:rPr>
            </w:pPr>
          </w:p>
        </w:tc>
      </w:tr>
      <w:tr>
        <w:trPr>
          <w:trHeight w:val="211"/>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spacing w:after="0" w:line="210" w:lineRule="exact"/>
              <w:rPr>
                <w:sz w:val="20"/>
                <w:szCs w:val="20"/>
                <w:color w:val="auto"/>
              </w:rPr>
            </w:pPr>
            <w:r>
              <w:rPr>
                <w:rFonts w:ascii="Arial" w:cs="Arial" w:eastAsia="Arial" w:hAnsi="Arial"/>
                <w:sz w:val="20"/>
                <w:szCs w:val="20"/>
                <w:i w:val="1"/>
                <w:iCs w:val="1"/>
                <w:color w:val="2275B5"/>
                <w:w w:val="98"/>
              </w:rPr>
              <w:t>www.virtualshareholdermeeting.com/ALNY2024</w:t>
            </w:r>
            <w:r>
              <w:rPr>
                <w:rFonts w:ascii="Arial" w:cs="Arial" w:eastAsia="Arial" w:hAnsi="Arial"/>
                <w:sz w:val="20"/>
                <w:szCs w:val="20"/>
                <w:color w:val="000000"/>
                <w:w w:val="98"/>
              </w:rPr>
              <w:t>. You will need the 16-digit control number</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0" w:type="dxa"/>
            <w:vAlign w:val="bottom"/>
            <w:gridSpan w:val="2"/>
            <w:shd w:val="clear" w:color="auto" w:fill="2275B5"/>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940" w:type="dxa"/>
            <w:vAlign w:val="bottom"/>
            <w:gridSpan w:val="4"/>
          </w:tcPr>
          <w:p>
            <w:pPr>
              <w:spacing w:after="0" w:line="200" w:lineRule="exact"/>
              <w:rPr>
                <w:sz w:val="20"/>
                <w:szCs w:val="20"/>
                <w:color w:val="auto"/>
              </w:rPr>
            </w:pPr>
            <w:r>
              <w:rPr>
                <w:rFonts w:ascii="Arial" w:cs="Arial" w:eastAsia="Arial" w:hAnsi="Arial"/>
                <w:sz w:val="20"/>
                <w:szCs w:val="20"/>
                <w:color w:val="auto"/>
              </w:rPr>
              <w:t>included on your proxy card or the instructions that accompanied your proxy materials.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b w:val="1"/>
                <w:bCs w:val="1"/>
                <w:color w:val="auto"/>
              </w:rPr>
              <w:t>Stockholders will be able to vote and submit questions during the annual meeting.</w:t>
            </w:r>
          </w:p>
        </w:tc>
        <w:tc>
          <w:tcPr>
            <w:tcW w:w="0" w:type="dxa"/>
            <w:vAlign w:val="bottom"/>
          </w:tcPr>
          <w:p>
            <w:pPr>
              <w:spacing w:after="0"/>
              <w:rPr>
                <w:sz w:val="1"/>
                <w:szCs w:val="1"/>
                <w:color w:val="auto"/>
              </w:rPr>
            </w:pPr>
          </w:p>
        </w:tc>
      </w:tr>
      <w:tr>
        <w:trPr>
          <w:trHeight w:val="218"/>
        </w:trPr>
        <w:tc>
          <w:tcPr>
            <w:tcW w:w="2000" w:type="dxa"/>
            <w:vAlign w:val="bottom"/>
            <w:vMerge w:val="restart"/>
          </w:tcPr>
          <w:p>
            <w:pPr>
              <w:spacing w:after="0"/>
              <w:rPr>
                <w:sz w:val="20"/>
                <w:szCs w:val="20"/>
                <w:color w:val="auto"/>
              </w:rPr>
            </w:pPr>
            <w:r>
              <w:rPr>
                <w:rFonts w:ascii="Arial" w:cs="Arial" w:eastAsia="Arial" w:hAnsi="Arial"/>
                <w:sz w:val="20"/>
                <w:szCs w:val="20"/>
                <w:b w:val="1"/>
                <w:bCs w:val="1"/>
                <w:color w:val="1D3060"/>
              </w:rPr>
              <w:t>Voting:</w:t>
            </w:r>
          </w:p>
        </w:tc>
        <w:tc>
          <w:tcPr>
            <w:tcW w:w="1080" w:type="dxa"/>
            <w:vAlign w:val="bottom"/>
          </w:tcPr>
          <w:p>
            <w:pPr>
              <w:spacing w:after="0"/>
              <w:rPr>
                <w:sz w:val="18"/>
                <w:szCs w:val="18"/>
                <w:color w:val="auto"/>
              </w:rPr>
            </w:pPr>
          </w:p>
        </w:tc>
        <w:tc>
          <w:tcPr>
            <w:tcW w:w="7940" w:type="dxa"/>
            <w:vAlign w:val="bottom"/>
            <w:gridSpan w:val="4"/>
          </w:tcPr>
          <w:p>
            <w:pPr>
              <w:spacing w:after="0" w:line="218" w:lineRule="exact"/>
              <w:rPr>
                <w:sz w:val="20"/>
                <w:szCs w:val="20"/>
                <w:color w:val="auto"/>
              </w:rPr>
            </w:pPr>
            <w:r>
              <w:rPr>
                <w:rFonts w:ascii="Arial" w:cs="Arial" w:eastAsia="Arial" w:hAnsi="Arial"/>
                <w:sz w:val="20"/>
                <w:szCs w:val="20"/>
                <w:b w:val="1"/>
                <w:bCs w:val="1"/>
                <w:color w:val="auto"/>
              </w:rPr>
              <w:t>You will not be able to attend the annual meeting in person.</w:t>
            </w: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color w:val="auto"/>
              </w:rPr>
              <w:t>Proposal 1 relates solely to the election of four (4) Class II directors nominated by our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color w:val="auto"/>
              </w:rPr>
              <w:t>board of directors and does not include any other matters relating to the election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40" w:type="dxa"/>
            <w:vAlign w:val="bottom"/>
            <w:gridSpan w:val="4"/>
          </w:tcPr>
          <w:p>
            <w:pPr>
              <w:spacing w:after="0" w:line="216" w:lineRule="exact"/>
              <w:rPr>
                <w:sz w:val="20"/>
                <w:szCs w:val="20"/>
                <w:color w:val="auto"/>
              </w:rPr>
            </w:pPr>
            <w:r>
              <w:rPr>
                <w:rFonts w:ascii="Arial" w:cs="Arial" w:eastAsia="Arial" w:hAnsi="Arial"/>
                <w:sz w:val="20"/>
                <w:szCs w:val="20"/>
                <w:color w:val="auto"/>
              </w:rPr>
              <w:t>directors, including without limitation, the election of directors nominated by any</w:t>
            </w:r>
          </w:p>
        </w:tc>
        <w:tc>
          <w:tcPr>
            <w:tcW w:w="0" w:type="dxa"/>
            <w:vAlign w:val="bottom"/>
          </w:tcPr>
          <w:p>
            <w:pPr>
              <w:spacing w:after="0"/>
              <w:rPr>
                <w:sz w:val="1"/>
                <w:szCs w:val="1"/>
                <w:color w:val="auto"/>
              </w:rPr>
            </w:pPr>
          </w:p>
        </w:tc>
      </w:tr>
      <w:tr>
        <w:trPr>
          <w:trHeight w:val="261"/>
        </w:trPr>
        <w:tc>
          <w:tcPr>
            <w:tcW w:w="2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940" w:type="dxa"/>
            <w:vAlign w:val="bottom"/>
            <w:gridSpan w:val="4"/>
          </w:tcPr>
          <w:p>
            <w:pPr>
              <w:spacing w:after="0"/>
              <w:rPr>
                <w:sz w:val="20"/>
                <w:szCs w:val="20"/>
                <w:color w:val="auto"/>
              </w:rPr>
            </w:pPr>
            <w:r>
              <w:rPr>
                <w:rFonts w:ascii="Arial" w:cs="Arial" w:eastAsia="Arial" w:hAnsi="Arial"/>
                <w:sz w:val="20"/>
                <w:szCs w:val="20"/>
                <w:color w:val="auto"/>
              </w:rPr>
              <w:t>stockholder of the company.</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jc w:val="both"/>
        <w:ind w:left="3200" w:right="60"/>
        <w:spacing w:after="0"/>
        <w:rPr>
          <w:sz w:val="20"/>
          <w:szCs w:val="20"/>
          <w:color w:val="auto"/>
        </w:rPr>
      </w:pPr>
      <w:r>
        <w:rPr>
          <w:rFonts w:ascii="Arial" w:cs="Arial" w:eastAsia="Arial" w:hAnsi="Arial"/>
          <w:sz w:val="20"/>
          <w:szCs w:val="20"/>
          <w:b w:val="1"/>
          <w:bCs w:val="1"/>
          <w:color w:val="auto"/>
        </w:rPr>
        <w:t>Your vote is important regardless of the number of shares you own. Whether or not you plan to participate in the annual meeting online, we hope you will take the time to vote your shares. To assure your representation at the annual meeting, if you are a stockholder of record, please vote in one of these three ways:</w:t>
      </w:r>
    </w:p>
    <w:p>
      <w:pPr>
        <w:spacing w:after="0" w:line="160" w:lineRule="exact"/>
        <w:rPr>
          <w:sz w:val="20"/>
          <w:szCs w:val="20"/>
          <w:color w:val="auto"/>
        </w:rPr>
      </w:pPr>
    </w:p>
    <w:p>
      <w:pPr>
        <w:ind w:left="3200" w:right="140"/>
        <w:spacing w:after="0" w:line="259" w:lineRule="auto"/>
        <w:rPr>
          <w:sz w:val="20"/>
          <w:szCs w:val="20"/>
          <w:color w:val="auto"/>
        </w:rPr>
      </w:pPr>
      <w:r>
        <w:rPr>
          <w:rFonts w:ascii="Arial" w:cs="Arial" w:eastAsia="Arial" w:hAnsi="Arial"/>
          <w:sz w:val="20"/>
          <w:szCs w:val="20"/>
          <w:b w:val="1"/>
          <w:bCs w:val="1"/>
          <w:color w:val="auto"/>
        </w:rPr>
        <w:t>Vote Over the Internet</w:t>
      </w:r>
      <w:r>
        <w:rPr>
          <w:rFonts w:ascii="Arial" w:cs="Arial" w:eastAsia="Arial" w:hAnsi="Arial"/>
          <w:sz w:val="20"/>
          <w:szCs w:val="20"/>
          <w:color w:val="auto"/>
        </w:rPr>
        <w:t>, by going to</w:t>
      </w:r>
      <w:r>
        <w:rPr>
          <w:rFonts w:ascii="Arial" w:cs="Arial" w:eastAsia="Arial" w:hAnsi="Arial"/>
          <w:sz w:val="20"/>
          <w:szCs w:val="20"/>
          <w:b w:val="1"/>
          <w:bCs w:val="1"/>
          <w:color w:val="auto"/>
        </w:rPr>
        <w:t xml:space="preserve"> </w:t>
      </w:r>
      <w:r>
        <w:rPr>
          <w:rFonts w:ascii="Arial" w:cs="Arial" w:eastAsia="Arial" w:hAnsi="Arial"/>
          <w:sz w:val="20"/>
          <w:szCs w:val="20"/>
          <w:i w:val="1"/>
          <w:iCs w:val="1"/>
          <w:u w:val="single" w:color="auto"/>
          <w:color w:val="2275B5"/>
        </w:rPr>
        <w:t>www.proxyvote.com</w:t>
      </w:r>
      <w:r>
        <w:rPr>
          <w:rFonts w:ascii="Arial" w:cs="Arial" w:eastAsia="Arial" w:hAnsi="Arial"/>
          <w:sz w:val="20"/>
          <w:szCs w:val="20"/>
          <w:b w:val="1"/>
          <w:bCs w:val="1"/>
          <w:color w:val="auto"/>
        </w:rPr>
        <w:t xml:space="preserve"> </w:t>
      </w:r>
      <w:r>
        <w:rPr>
          <w:rFonts w:ascii="Arial" w:cs="Arial" w:eastAsia="Arial" w:hAnsi="Arial"/>
          <w:sz w:val="20"/>
          <w:szCs w:val="20"/>
          <w:color w:val="auto"/>
        </w:rPr>
        <w:t>and entering the 16-digit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number provided on your proxy card or voting instruction form;</w:t>
      </w:r>
    </w:p>
    <w:p>
      <w:pPr>
        <w:spacing w:after="0" w:line="152" w:lineRule="exact"/>
        <w:rPr>
          <w:sz w:val="20"/>
          <w:szCs w:val="20"/>
          <w:color w:val="auto"/>
        </w:rPr>
      </w:pPr>
    </w:p>
    <w:p>
      <w:pPr>
        <w:ind w:left="3200"/>
        <w:spacing w:after="0" w:line="242" w:lineRule="auto"/>
        <w:rPr>
          <w:sz w:val="20"/>
          <w:szCs w:val="20"/>
          <w:color w:val="auto"/>
        </w:rPr>
      </w:pPr>
      <w:r>
        <w:rPr>
          <w:rFonts w:ascii="Arial" w:cs="Arial" w:eastAsia="Arial" w:hAnsi="Arial"/>
          <w:sz w:val="20"/>
          <w:szCs w:val="20"/>
          <w:b w:val="1"/>
          <w:bCs w:val="1"/>
          <w:color w:val="auto"/>
        </w:rPr>
        <w:t>Vote by Telephone</w:t>
      </w:r>
      <w:r>
        <w:rPr>
          <w:rFonts w:ascii="Arial" w:cs="Arial" w:eastAsia="Arial" w:hAnsi="Arial"/>
          <w:sz w:val="20"/>
          <w:szCs w:val="20"/>
          <w:color w:val="auto"/>
        </w:rPr>
        <w:t>, by calling 1-800-690-6903 or the number on your proxy card or voting</w:t>
      </w:r>
      <w:r>
        <w:rPr>
          <w:rFonts w:ascii="Arial" w:cs="Arial" w:eastAsia="Arial" w:hAnsi="Arial"/>
          <w:sz w:val="20"/>
          <w:szCs w:val="20"/>
          <w:b w:val="1"/>
          <w:bCs w:val="1"/>
          <w:color w:val="auto"/>
        </w:rPr>
        <w:t xml:space="preserve"> </w:t>
      </w:r>
      <w:r>
        <w:rPr>
          <w:rFonts w:ascii="Arial" w:cs="Arial" w:eastAsia="Arial" w:hAnsi="Arial"/>
          <w:sz w:val="20"/>
          <w:szCs w:val="20"/>
          <w:color w:val="auto"/>
        </w:rPr>
        <w:t>instruction form. You will need the 16-digit control number provided on your proxy card or voting instruction form; or</w:t>
      </w:r>
    </w:p>
    <w:p>
      <w:pPr>
        <w:spacing w:after="0" w:line="168" w:lineRule="exact"/>
        <w:rPr>
          <w:sz w:val="20"/>
          <w:szCs w:val="20"/>
          <w:color w:val="auto"/>
        </w:rPr>
      </w:pPr>
    </w:p>
    <w:p>
      <w:pPr>
        <w:ind w:left="3200" w:right="20"/>
        <w:spacing w:after="0" w:line="261" w:lineRule="auto"/>
        <w:rPr>
          <w:sz w:val="20"/>
          <w:szCs w:val="20"/>
          <w:color w:val="auto"/>
        </w:rPr>
      </w:pPr>
      <w:r>
        <w:rPr>
          <w:rFonts w:ascii="Arial" w:cs="Arial" w:eastAsia="Arial" w:hAnsi="Arial"/>
          <w:sz w:val="19"/>
          <w:szCs w:val="19"/>
          <w:b w:val="1"/>
          <w:bCs w:val="1"/>
          <w:color w:val="auto"/>
        </w:rPr>
        <w:t>Vote by Mail</w:t>
      </w:r>
      <w:r>
        <w:rPr>
          <w:rFonts w:ascii="Arial" w:cs="Arial" w:eastAsia="Arial" w:hAnsi="Arial"/>
          <w:sz w:val="19"/>
          <w:szCs w:val="19"/>
          <w:color w:val="auto"/>
        </w:rPr>
        <w:t>, if you received printed proxy materials, by completing, signing and dating</w:t>
      </w:r>
      <w:r>
        <w:rPr>
          <w:rFonts w:ascii="Arial" w:cs="Arial" w:eastAsia="Arial" w:hAnsi="Arial"/>
          <w:sz w:val="19"/>
          <w:szCs w:val="19"/>
          <w:b w:val="1"/>
          <w:bCs w:val="1"/>
          <w:color w:val="auto"/>
        </w:rPr>
        <w:t xml:space="preserve"> </w:t>
      </w:r>
      <w:r>
        <w:rPr>
          <w:rFonts w:ascii="Arial" w:cs="Arial" w:eastAsia="Arial" w:hAnsi="Arial"/>
          <w:sz w:val="19"/>
          <w:szCs w:val="19"/>
          <w:color w:val="auto"/>
        </w:rPr>
        <w:t>the proxy card or voting instruction form and mailing it in the accompanying pre-addressed envelope. If you vote over the Internet or by telephone, please do not mail your proxy.</w:t>
      </w:r>
    </w:p>
    <w:p>
      <w:pPr>
        <w:spacing w:after="0" w:line="153" w:lineRule="exact"/>
        <w:rPr>
          <w:sz w:val="20"/>
          <w:szCs w:val="20"/>
          <w:color w:val="auto"/>
        </w:rPr>
      </w:pPr>
    </w:p>
    <w:p>
      <w:pPr>
        <w:ind w:left="3200"/>
        <w:spacing w:after="0" w:line="257" w:lineRule="auto"/>
        <w:rPr>
          <w:sz w:val="20"/>
          <w:szCs w:val="20"/>
          <w:color w:val="auto"/>
        </w:rPr>
      </w:pPr>
      <w:r>
        <w:rPr>
          <w:rFonts w:ascii="Arial" w:cs="Arial" w:eastAsia="Arial" w:hAnsi="Arial"/>
          <w:sz w:val="20"/>
          <w:szCs w:val="20"/>
          <w:color w:val="auto"/>
        </w:rPr>
        <w:t>If you vote via the Internet or by telephone or mail your proxy in, you will not limit your right to vote online at the annual meeting.</w:t>
      </w:r>
    </w:p>
    <w:p>
      <w:pPr>
        <w:spacing w:after="0" w:line="155" w:lineRule="exact"/>
        <w:rPr>
          <w:sz w:val="20"/>
          <w:szCs w:val="20"/>
          <w:color w:val="auto"/>
        </w:rPr>
      </w:pPr>
    </w:p>
    <w:p>
      <w:pPr>
        <w:ind w:left="3200" w:right="120"/>
        <w:spacing w:after="0" w:line="241" w:lineRule="auto"/>
        <w:rPr>
          <w:sz w:val="20"/>
          <w:szCs w:val="20"/>
          <w:color w:val="auto"/>
        </w:rPr>
      </w:pPr>
      <w:r>
        <w:rPr>
          <w:rFonts w:ascii="Arial" w:cs="Arial" w:eastAsia="Arial" w:hAnsi="Arial"/>
          <w:sz w:val="20"/>
          <w:szCs w:val="20"/>
          <w:i w:val="1"/>
          <w:iCs w:val="1"/>
          <w:color w:val="auto"/>
        </w:rPr>
        <w:t>If your shares are held in “street name,” that is, held for your account by a broker or other nominee, you will receive instructions from the holder of record that you must follow for your shares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266065</wp:posOffset>
            </wp:positionV>
            <wp:extent cx="6998970" cy="1084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108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1D3060"/>
        </w:rPr>
        <w:t>Important Notice Regarding the Internet Availability of Proxy Materials</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1D3060"/>
        </w:rPr>
        <w:t>for the Stockholder Meeting to Be Held on May 16, 2024</w:t>
      </w:r>
    </w:p>
    <w:p>
      <w:pPr>
        <w:spacing w:after="0" w:line="200" w:lineRule="exact"/>
        <w:rPr>
          <w:sz w:val="20"/>
          <w:szCs w:val="20"/>
          <w:color w:val="auto"/>
        </w:rPr>
      </w:pPr>
    </w:p>
    <w:p>
      <w:pPr>
        <w:spacing w:after="0" w:line="227" w:lineRule="exact"/>
        <w:rPr>
          <w:sz w:val="20"/>
          <w:szCs w:val="20"/>
          <w:color w:val="auto"/>
        </w:rPr>
      </w:pPr>
    </w:p>
    <w:p>
      <w:pPr>
        <w:ind w:left="220" w:right="1120"/>
        <w:spacing w:after="0" w:line="257" w:lineRule="auto"/>
        <w:rPr>
          <w:sz w:val="20"/>
          <w:szCs w:val="20"/>
          <w:color w:val="auto"/>
        </w:rPr>
      </w:pPr>
      <w:r>
        <w:rPr>
          <w:rFonts w:ascii="Arial" w:cs="Arial" w:eastAsia="Arial" w:hAnsi="Arial"/>
          <w:sz w:val="20"/>
          <w:szCs w:val="20"/>
          <w:color w:val="auto"/>
        </w:rPr>
        <w:t xml:space="preserve">This Notice of 2024 Annual Meeting, Proxy Statement, 2023 Annual Report on Form 10-K and Annual Report to Stockholders are available for viewing, printing and downloading at </w:t>
      </w:r>
      <w:r>
        <w:rPr>
          <w:rFonts w:ascii="Arial" w:cs="Arial" w:eastAsia="Arial" w:hAnsi="Arial"/>
          <w:sz w:val="20"/>
          <w:szCs w:val="20"/>
          <w:i w:val="1"/>
          <w:iCs w:val="1"/>
          <w:u w:val="single" w:color="auto"/>
          <w:color w:val="2275B5"/>
        </w:rPr>
        <w:t>www.proxyvote.com</w:t>
      </w:r>
      <w:r>
        <w:rPr>
          <w:rFonts w:ascii="Arial" w:cs="Arial" w:eastAsia="Arial" w:hAnsi="Arial"/>
          <w:sz w:val="20"/>
          <w:szCs w:val="20"/>
          <w:color w:val="auto"/>
        </w:rPr>
        <w:t>.</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148272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27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Brett R. Budzinski</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Senior Vice President, General Counsel, Corporate and Governance and Secretary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Cambridge, Massachusetts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April 1, 2024</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763270</wp:posOffset>
            </wp:positionV>
            <wp:extent cx="6998970" cy="672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7246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208280</wp:posOffset>
            </wp:positionV>
            <wp:extent cx="1525905" cy="40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590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2275B5"/>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2275B5"/>
        </w:rPr>
        <w:t>Table of Contents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940" w:type="dxa"/>
            <w:vAlign w:val="bottom"/>
            <w:gridSpan w:val="15"/>
          </w:tcPr>
          <w:p>
            <w:pPr>
              <w:spacing w:after="0"/>
              <w:rPr>
                <w:sz w:val="20"/>
                <w:szCs w:val="20"/>
                <w:color w:val="auto"/>
              </w:rPr>
            </w:pPr>
            <w:r>
              <w:rPr>
                <w:rFonts w:ascii="Arial" w:cs="Arial" w:eastAsia="Arial" w:hAnsi="Arial"/>
                <w:sz w:val="18"/>
                <w:szCs w:val="18"/>
                <w:color w:val="0000EE"/>
              </w:rPr>
              <w:t>PROXY STATEMENT SUMMARY</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24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CORPORATE GOVERNANCE</w:t>
            </w:r>
          </w:p>
        </w:tc>
        <w:tc>
          <w:tcPr>
            <w:tcW w:w="240" w:type="dxa"/>
            <w:vAlign w:val="bottom"/>
            <w:tcBorders>
              <w:top w:val="single" w:sz="8" w:color="0000EE"/>
            </w:tcBorders>
            <w:gridSpan w:val="2"/>
          </w:tcPr>
          <w:p>
            <w:pPr>
              <w:spacing w:after="0"/>
              <w:rPr>
                <w:sz w:val="24"/>
                <w:szCs w:val="24"/>
                <w:color w:val="auto"/>
              </w:rPr>
            </w:pPr>
          </w:p>
        </w:tc>
        <w:tc>
          <w:tcPr>
            <w:tcW w:w="724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3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4"/>
              </w:rPr>
              <w:t>ESG</w:t>
            </w:r>
          </w:p>
        </w:tc>
        <w:tc>
          <w:tcPr>
            <w:tcW w:w="9560" w:type="dxa"/>
            <w:vAlign w:val="bottom"/>
            <w:gridSpan w:val="1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91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INFORMATION CONCERNING DIRECTOR NOMINEES – ELECTION OF CLASS II DIRECTORS (PROPOSAL 1)</w:t>
            </w:r>
          </w:p>
        </w:tc>
        <w:tc>
          <w:tcPr>
            <w:tcW w:w="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9940" w:type="dxa"/>
            <w:vAlign w:val="bottom"/>
            <w:gridSpan w:val="15"/>
          </w:tcPr>
          <w:p>
            <w:pPr>
              <w:spacing w:after="0"/>
              <w:rPr>
                <w:sz w:val="20"/>
                <w:szCs w:val="20"/>
                <w:color w:val="auto"/>
              </w:rPr>
            </w:pPr>
            <w:r>
              <w:rPr>
                <w:rFonts w:ascii="Arial" w:cs="Arial" w:eastAsia="Arial" w:hAnsi="Arial"/>
                <w:sz w:val="18"/>
                <w:szCs w:val="18"/>
                <w:color w:val="0000EE"/>
              </w:rPr>
              <w:t>THE BOARD OF DIRECTORS AND ITS COMMITTEES</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446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DIRECTOR COMPENSATION</w:t>
            </w:r>
          </w:p>
        </w:tc>
        <w:tc>
          <w:tcPr>
            <w:tcW w:w="548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22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9"/>
              </w:rPr>
              <w:t>SECURITIES OWNERSHIP</w:t>
            </w:r>
          </w:p>
        </w:tc>
        <w:tc>
          <w:tcPr>
            <w:tcW w:w="180" w:type="dxa"/>
            <w:vAlign w:val="bottom"/>
            <w:tcBorders>
              <w:top w:val="single" w:sz="8" w:color="0000EE"/>
            </w:tcBorders>
          </w:tcPr>
          <w:p>
            <w:pPr>
              <w:spacing w:after="0"/>
              <w:rPr>
                <w:sz w:val="24"/>
                <w:szCs w:val="24"/>
                <w:color w:val="auto"/>
              </w:rPr>
            </w:pPr>
          </w:p>
        </w:tc>
        <w:tc>
          <w:tcPr>
            <w:tcW w:w="752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7"/>
        </w:trPr>
        <w:tc>
          <w:tcPr>
            <w:tcW w:w="19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EXECUTIVE OFFICERS</w:t>
            </w:r>
          </w:p>
        </w:tc>
        <w:tc>
          <w:tcPr>
            <w:tcW w:w="796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2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EXECUTIVE COMPENSATION</w:t>
            </w:r>
          </w:p>
        </w:tc>
        <w:tc>
          <w:tcPr>
            <w:tcW w:w="742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8"/>
        </w:trPr>
        <w:tc>
          <w:tcPr>
            <w:tcW w:w="69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8"/>
              </w:rPr>
              <w:t>SAY-ON-PAY – ADVISORY VOTE ON EXECUTIVE COMPENSATION (PROPOSAL 2)</w:t>
            </w:r>
          </w:p>
        </w:tc>
        <w:tc>
          <w:tcPr>
            <w:tcW w:w="302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18"/>
        </w:trPr>
        <w:tc>
          <w:tcPr>
            <w:tcW w:w="68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RATIFICATION OF APPOINTMENT OF INDEPENDENT AUDITORS (PROPOSAL 3)</w:t>
            </w:r>
          </w:p>
        </w:tc>
        <w:tc>
          <w:tcPr>
            <w:tcW w:w="314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18"/>
        </w:trPr>
        <w:tc>
          <w:tcPr>
            <w:tcW w:w="18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8"/>
              </w:rPr>
              <w:t>AUDIT INFORMATION</w:t>
            </w:r>
          </w:p>
        </w:tc>
        <w:tc>
          <w:tcPr>
            <w:tcW w:w="8100" w:type="dxa"/>
            <w:vAlign w:val="bottom"/>
            <w:gridSpan w:val="1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18"/>
        </w:trPr>
        <w:tc>
          <w:tcPr>
            <w:tcW w:w="62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IMPORTANT INFORMATION ABOUT THE ANNUAL MEETING AND VOTING</w:t>
            </w:r>
          </w:p>
        </w:tc>
        <w:tc>
          <w:tcPr>
            <w:tcW w:w="370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18"/>
        </w:trPr>
        <w:tc>
          <w:tcPr>
            <w:tcW w:w="43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8"/>
              </w:rPr>
              <w:t>ADDITIONAL INFORMATION AND OTHER MATTERS</w:t>
            </w:r>
          </w:p>
        </w:tc>
        <w:tc>
          <w:tcPr>
            <w:tcW w:w="556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763270</wp:posOffset>
            </wp:positionV>
            <wp:extent cx="6998970" cy="621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2103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208280</wp:posOffset>
            </wp:positionV>
            <wp:extent cx="1525905" cy="402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590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PROXY STATEMENT SUMMARY</w:t>
      </w:r>
    </w:p>
    <w:p>
      <w:pPr>
        <w:spacing w:after="0" w:line="200" w:lineRule="exact"/>
        <w:rPr>
          <w:sz w:val="20"/>
          <w:szCs w:val="20"/>
          <w:color w:val="auto"/>
        </w:rPr>
      </w:pPr>
    </w:p>
    <w:p>
      <w:pPr>
        <w:spacing w:after="0" w:line="320" w:lineRule="exact"/>
        <w:rPr>
          <w:sz w:val="20"/>
          <w:szCs w:val="20"/>
          <w:color w:val="auto"/>
        </w:rPr>
      </w:pPr>
    </w:p>
    <w:p>
      <w:pPr>
        <w:ind w:left="120" w:right="440" w:firstLine="551"/>
        <w:spacing w:after="0" w:line="257" w:lineRule="auto"/>
        <w:rPr>
          <w:sz w:val="20"/>
          <w:szCs w:val="20"/>
          <w:color w:val="auto"/>
        </w:rPr>
      </w:pPr>
      <w:r>
        <w:rPr>
          <w:rFonts w:ascii="Arial" w:cs="Arial" w:eastAsia="Arial" w:hAnsi="Arial"/>
          <w:sz w:val="20"/>
          <w:szCs w:val="20"/>
          <w:color w:val="auto"/>
        </w:rPr>
        <w:t>This summary highlights important information you will find in this Proxy Statement. As it is only a summary, please review the complete Proxy Statement before you vote.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Virtual Annual Meeting Information</w:t>
      </w:r>
    </w:p>
    <w:p>
      <w:pPr>
        <w:spacing w:after="0" w:line="229" w:lineRule="exact"/>
        <w:rPr>
          <w:sz w:val="20"/>
          <w:szCs w:val="20"/>
          <w:color w:val="auto"/>
        </w:rPr>
      </w:pPr>
    </w:p>
    <w:tbl>
      <w:tblPr>
        <w:tblLayout w:type="fixed"/>
        <w:tblInd w:w="130" w:type="dxa"/>
        <w:tblCellMar>
          <w:top w:w="0" w:type="dxa"/>
          <w:left w:w="0" w:type="dxa"/>
          <w:bottom w:w="0" w:type="dxa"/>
          <w:right w:w="0" w:type="dxa"/>
        </w:tblCellMar>
      </w:tblPr>
      <w:tr>
        <w:trPr>
          <w:trHeight w:val="493"/>
        </w:trPr>
        <w:tc>
          <w:tcPr>
            <w:tcW w:w="188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20"/>
                <w:szCs w:val="20"/>
                <w:b w:val="1"/>
                <w:bCs w:val="1"/>
                <w:color w:val="1D3060"/>
              </w:rPr>
              <w:t>  Date:</w:t>
            </w:r>
          </w:p>
        </w:tc>
        <w:tc>
          <w:tcPr>
            <w:tcW w:w="9140" w:type="dxa"/>
            <w:vAlign w:val="bottom"/>
            <w:tcBorders>
              <w:top w:val="single" w:sz="8" w:color="auto"/>
              <w:right w:val="single" w:sz="8" w:color="auto"/>
            </w:tcBorders>
            <w:gridSpan w:val="3"/>
          </w:tcPr>
          <w:p>
            <w:pPr>
              <w:ind w:left="560"/>
              <w:spacing w:after="0"/>
              <w:rPr>
                <w:sz w:val="20"/>
                <w:szCs w:val="20"/>
                <w:color w:val="auto"/>
              </w:rPr>
            </w:pPr>
            <w:r>
              <w:rPr>
                <w:rFonts w:ascii="Arial" w:cs="Arial" w:eastAsia="Arial" w:hAnsi="Arial"/>
                <w:sz w:val="18"/>
                <w:szCs w:val="18"/>
                <w:color w:val="auto"/>
              </w:rPr>
              <w:t>Thursday, May 16, 2024</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ind w:left="20"/>
              <w:spacing w:after="0" w:line="216" w:lineRule="exact"/>
              <w:rPr>
                <w:sz w:val="20"/>
                <w:szCs w:val="20"/>
                <w:color w:val="auto"/>
              </w:rPr>
            </w:pPr>
            <w:r>
              <w:rPr>
                <w:rFonts w:ascii="Arial" w:cs="Arial" w:eastAsia="Arial" w:hAnsi="Arial"/>
                <w:sz w:val="20"/>
                <w:szCs w:val="20"/>
                <w:b w:val="1"/>
                <w:bCs w:val="1"/>
                <w:color w:val="1D3060"/>
              </w:rPr>
              <w:t>  Time:</w:t>
            </w:r>
          </w:p>
        </w:tc>
        <w:tc>
          <w:tcPr>
            <w:tcW w:w="9140" w:type="dxa"/>
            <w:vAlign w:val="bottom"/>
            <w:tcBorders>
              <w:right w:val="single" w:sz="8" w:color="auto"/>
            </w:tcBorders>
            <w:gridSpan w:val="3"/>
          </w:tcPr>
          <w:p>
            <w:pPr>
              <w:ind w:left="560"/>
              <w:spacing w:after="0"/>
              <w:rPr>
                <w:sz w:val="20"/>
                <w:szCs w:val="20"/>
                <w:color w:val="auto"/>
              </w:rPr>
            </w:pPr>
            <w:r>
              <w:rPr>
                <w:rFonts w:ascii="Arial" w:cs="Arial" w:eastAsia="Arial" w:hAnsi="Arial"/>
                <w:sz w:val="18"/>
                <w:szCs w:val="18"/>
                <w:color w:val="auto"/>
              </w:rPr>
              <w:t>10:30 a.m., Eastern Time</w:t>
            </w:r>
          </w:p>
        </w:tc>
        <w:tc>
          <w:tcPr>
            <w:tcW w:w="0" w:type="dxa"/>
            <w:vAlign w:val="bottom"/>
          </w:tcPr>
          <w:p>
            <w:pPr>
              <w:spacing w:after="0"/>
              <w:rPr>
                <w:sz w:val="1"/>
                <w:szCs w:val="1"/>
                <w:color w:val="auto"/>
              </w:rPr>
            </w:pPr>
          </w:p>
        </w:tc>
      </w:tr>
      <w:tr>
        <w:trPr>
          <w:trHeight w:val="199"/>
        </w:trPr>
        <w:tc>
          <w:tcPr>
            <w:tcW w:w="1880" w:type="dxa"/>
            <w:vAlign w:val="bottom"/>
            <w:tcBorders>
              <w:left w:val="single" w:sz="8" w:color="auto"/>
            </w:tcBorders>
          </w:tcPr>
          <w:p>
            <w:pPr>
              <w:ind w:left="20"/>
              <w:spacing w:after="0" w:line="179" w:lineRule="exact"/>
              <w:rPr>
                <w:sz w:val="20"/>
                <w:szCs w:val="20"/>
                <w:color w:val="auto"/>
              </w:rPr>
            </w:pPr>
            <w:r>
              <w:rPr>
                <w:rFonts w:ascii="Arial" w:cs="Arial" w:eastAsia="Arial" w:hAnsi="Arial"/>
                <w:sz w:val="20"/>
                <w:szCs w:val="20"/>
                <w:b w:val="1"/>
                <w:bCs w:val="1"/>
                <w:color w:val="1D3060"/>
              </w:rPr>
              <w:t>  Location:</w:t>
            </w:r>
          </w:p>
        </w:tc>
        <w:tc>
          <w:tcPr>
            <w:tcW w:w="9140" w:type="dxa"/>
            <w:vAlign w:val="bottom"/>
            <w:tcBorders>
              <w:right w:val="single" w:sz="8" w:color="auto"/>
            </w:tcBorders>
            <w:gridSpan w:val="3"/>
          </w:tcPr>
          <w:p>
            <w:pPr>
              <w:ind w:left="560"/>
              <w:spacing w:after="0" w:line="179" w:lineRule="exact"/>
              <w:rPr>
                <w:sz w:val="20"/>
                <w:szCs w:val="20"/>
                <w:color w:val="auto"/>
              </w:rPr>
            </w:pPr>
            <w:r>
              <w:rPr>
                <w:rFonts w:ascii="Arial" w:cs="Arial" w:eastAsia="Arial" w:hAnsi="Arial"/>
                <w:sz w:val="18"/>
                <w:szCs w:val="18"/>
                <w:color w:val="auto"/>
              </w:rPr>
              <w:t xml:space="preserve">Online at </w:t>
            </w:r>
            <w:r>
              <w:rPr>
                <w:rFonts w:ascii="Arial" w:cs="Arial" w:eastAsia="Arial" w:hAnsi="Arial"/>
                <w:sz w:val="18"/>
                <w:szCs w:val="18"/>
                <w:i w:val="1"/>
                <w:iCs w:val="1"/>
                <w:color w:val="2275B5"/>
              </w:rPr>
              <w:t>www.virtualshareholdermeeting.com/ALNY2024</w:t>
            </w:r>
          </w:p>
        </w:tc>
        <w:tc>
          <w:tcPr>
            <w:tcW w:w="0" w:type="dxa"/>
            <w:vAlign w:val="bottom"/>
          </w:tcPr>
          <w:p>
            <w:pPr>
              <w:spacing w:after="0"/>
              <w:rPr>
                <w:sz w:val="1"/>
                <w:szCs w:val="1"/>
                <w:color w:val="auto"/>
              </w:rPr>
            </w:pPr>
          </w:p>
        </w:tc>
      </w:tr>
      <w:tr>
        <w:trPr>
          <w:trHeight w:val="20"/>
        </w:trPr>
        <w:tc>
          <w:tcPr>
            <w:tcW w:w="1880" w:type="dxa"/>
            <w:vAlign w:val="bottom"/>
            <w:tcBorders>
              <w:left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20" w:type="dxa"/>
            <w:vAlign w:val="bottom"/>
            <w:shd w:val="clear" w:color="auto" w:fill="2275B5"/>
          </w:tcPr>
          <w:p>
            <w:pPr>
              <w:spacing w:after="0" w:line="20" w:lineRule="exact"/>
              <w:rPr>
                <w:sz w:val="1"/>
                <w:szCs w:val="1"/>
                <w:color w:val="auto"/>
              </w:rPr>
            </w:pPr>
          </w:p>
        </w:tc>
        <w:tc>
          <w:tcPr>
            <w:tcW w:w="4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880" w:type="dxa"/>
            <w:vAlign w:val="bottom"/>
            <w:tcBorders>
              <w:left w:val="single" w:sz="8" w:color="auto"/>
            </w:tcBorders>
            <w:vMerge w:val="restart"/>
          </w:tcPr>
          <w:p>
            <w:pPr>
              <w:ind w:left="20"/>
              <w:spacing w:after="0"/>
              <w:rPr>
                <w:sz w:val="20"/>
                <w:szCs w:val="20"/>
                <w:color w:val="auto"/>
              </w:rPr>
            </w:pPr>
            <w:r>
              <w:rPr>
                <w:rFonts w:ascii="Arial" w:cs="Arial" w:eastAsia="Arial" w:hAnsi="Arial"/>
                <w:sz w:val="20"/>
                <w:szCs w:val="20"/>
                <w:b w:val="1"/>
                <w:bCs w:val="1"/>
                <w:color w:val="1D3060"/>
              </w:rPr>
              <w:t>  Record Date:</w:t>
            </w:r>
          </w:p>
        </w:tc>
        <w:tc>
          <w:tcPr>
            <w:tcW w:w="9140" w:type="dxa"/>
            <w:vAlign w:val="bottom"/>
            <w:tcBorders>
              <w:right w:val="single" w:sz="8" w:color="auto"/>
            </w:tcBorders>
            <w:gridSpan w:val="3"/>
          </w:tcPr>
          <w:p>
            <w:pPr>
              <w:ind w:left="560"/>
              <w:spacing w:after="0" w:line="204" w:lineRule="exact"/>
              <w:rPr>
                <w:sz w:val="20"/>
                <w:szCs w:val="20"/>
                <w:color w:val="auto"/>
              </w:rPr>
            </w:pPr>
            <w:r>
              <w:rPr>
                <w:rFonts w:ascii="Arial" w:cs="Arial" w:eastAsia="Arial" w:hAnsi="Arial"/>
                <w:sz w:val="18"/>
                <w:szCs w:val="18"/>
                <w:b w:val="1"/>
                <w:bCs w:val="1"/>
                <w:color w:val="auto"/>
              </w:rPr>
              <w:t>You will not be able to attend the annual meeting in person.</w:t>
            </w:r>
          </w:p>
        </w:tc>
        <w:tc>
          <w:tcPr>
            <w:tcW w:w="0" w:type="dxa"/>
            <w:vAlign w:val="bottom"/>
          </w:tcPr>
          <w:p>
            <w:pPr>
              <w:spacing w:after="0"/>
              <w:rPr>
                <w:sz w:val="1"/>
                <w:szCs w:val="1"/>
                <w:color w:val="auto"/>
              </w:rPr>
            </w:pPr>
          </w:p>
        </w:tc>
      </w:tr>
      <w:tr>
        <w:trPr>
          <w:trHeight w:val="268"/>
        </w:trPr>
        <w:tc>
          <w:tcPr>
            <w:tcW w:w="1880" w:type="dxa"/>
            <w:vAlign w:val="bottom"/>
            <w:tcBorders>
              <w:left w:val="single" w:sz="8" w:color="auto"/>
            </w:tcBorders>
            <w:vMerge w:val="continue"/>
          </w:tcPr>
          <w:p>
            <w:pPr>
              <w:spacing w:after="0"/>
              <w:rPr>
                <w:sz w:val="23"/>
                <w:szCs w:val="23"/>
                <w:color w:val="auto"/>
              </w:rPr>
            </w:pPr>
          </w:p>
        </w:tc>
        <w:tc>
          <w:tcPr>
            <w:tcW w:w="9140" w:type="dxa"/>
            <w:vAlign w:val="bottom"/>
            <w:tcBorders>
              <w:right w:val="single" w:sz="8" w:color="auto"/>
            </w:tcBorders>
            <w:gridSpan w:val="3"/>
          </w:tcPr>
          <w:p>
            <w:pPr>
              <w:ind w:left="560"/>
              <w:spacing w:after="0"/>
              <w:rPr>
                <w:sz w:val="20"/>
                <w:szCs w:val="20"/>
                <w:color w:val="auto"/>
              </w:rPr>
            </w:pPr>
            <w:r>
              <w:rPr>
                <w:rFonts w:ascii="Arial" w:cs="Arial" w:eastAsia="Arial" w:hAnsi="Arial"/>
                <w:sz w:val="18"/>
                <w:szCs w:val="18"/>
                <w:color w:val="auto"/>
              </w:rPr>
              <w:t>March 22, 2024</w:t>
            </w:r>
          </w:p>
        </w:tc>
        <w:tc>
          <w:tcPr>
            <w:tcW w:w="0" w:type="dxa"/>
            <w:vAlign w:val="bottom"/>
          </w:tcPr>
          <w:p>
            <w:pPr>
              <w:spacing w:after="0"/>
              <w:rPr>
                <w:sz w:val="1"/>
                <w:szCs w:val="1"/>
                <w:color w:val="auto"/>
              </w:rPr>
            </w:pPr>
          </w:p>
        </w:tc>
      </w:tr>
      <w:tr>
        <w:trPr>
          <w:trHeight w:val="260"/>
        </w:trPr>
        <w:tc>
          <w:tcPr>
            <w:tcW w:w="1880" w:type="dxa"/>
            <w:vAlign w:val="bottom"/>
            <w:tcBorders>
              <w:left w:val="single" w:sz="8" w:color="auto"/>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tcPr>
          <w:p>
            <w:pPr>
              <w:spacing w:after="0"/>
              <w:rPr>
                <w:sz w:val="22"/>
                <w:szCs w:val="22"/>
                <w:color w:val="auto"/>
              </w:rPr>
            </w:pPr>
          </w:p>
        </w:tc>
        <w:tc>
          <w:tcPr>
            <w:tcW w:w="4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8880" w:type="dxa"/>
            <w:vAlign w:val="bottom"/>
            <w:gridSpan w:val="2"/>
          </w:tcPr>
          <w:p>
            <w:pPr>
              <w:spacing w:after="0"/>
              <w:rPr>
                <w:sz w:val="20"/>
                <w:szCs w:val="20"/>
                <w:color w:val="auto"/>
              </w:rPr>
            </w:pPr>
            <w:r>
              <w:rPr>
                <w:rFonts w:ascii="Arial" w:cs="Arial" w:eastAsia="Arial" w:hAnsi="Arial"/>
                <w:sz w:val="20"/>
                <w:szCs w:val="20"/>
                <w:b w:val="1"/>
                <w:bCs w:val="1"/>
                <w:color w:val="1D3060"/>
              </w:rPr>
              <w:t>Voting Items and Board Recommendations</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10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80" w:type="dxa"/>
            <w:vAlign w:val="bottom"/>
            <w:shd w:val="clear" w:color="auto" w:fill="1D3060"/>
          </w:tcPr>
          <w:p>
            <w:pPr>
              <w:spacing w:after="0"/>
              <w:rPr>
                <w:sz w:val="21"/>
                <w:szCs w:val="21"/>
                <w:color w:val="auto"/>
              </w:rPr>
            </w:pPr>
          </w:p>
        </w:tc>
        <w:tc>
          <w:tcPr>
            <w:tcW w:w="7800" w:type="dxa"/>
            <w:vAlign w:val="bottom"/>
            <w:vMerge w:val="restart"/>
            <w:shd w:val="clear" w:color="auto" w:fill="1D3060"/>
          </w:tcPr>
          <w:p>
            <w:pPr>
              <w:ind w:left="7480"/>
              <w:spacing w:after="0"/>
              <w:rPr>
                <w:sz w:val="20"/>
                <w:szCs w:val="20"/>
                <w:color w:val="auto"/>
              </w:rPr>
            </w:pPr>
            <w:r>
              <w:rPr>
                <w:rFonts w:ascii="Arial" w:cs="Arial" w:eastAsia="Arial" w:hAnsi="Arial"/>
                <w:sz w:val="20"/>
                <w:szCs w:val="20"/>
                <w:b w:val="1"/>
                <w:bCs w:val="1"/>
                <w:color w:val="FFFFFF"/>
              </w:rPr>
              <w:t xml:space="preserve">    </w:t>
            </w:r>
          </w:p>
        </w:tc>
        <w:tc>
          <w:tcPr>
            <w:tcW w:w="2140" w:type="dxa"/>
            <w:vAlign w:val="bottom"/>
            <w:shd w:val="clear" w:color="auto" w:fill="1D3060"/>
          </w:tcPr>
          <w:p>
            <w:pPr>
              <w:jc w:val="center"/>
              <w:ind w:right="241"/>
              <w:spacing w:after="0"/>
              <w:rPr>
                <w:sz w:val="20"/>
                <w:szCs w:val="20"/>
                <w:color w:val="auto"/>
              </w:rPr>
            </w:pPr>
            <w:r>
              <w:rPr>
                <w:rFonts w:ascii="Arial" w:cs="Arial" w:eastAsia="Arial" w:hAnsi="Arial"/>
                <w:sz w:val="20"/>
                <w:szCs w:val="20"/>
                <w:b w:val="1"/>
                <w:bCs w:val="1"/>
                <w:color w:val="FFFFFF"/>
                <w:w w:val="96"/>
              </w:rPr>
              <w:t>Board</w:t>
            </w:r>
          </w:p>
        </w:tc>
        <w:tc>
          <w:tcPr>
            <w:tcW w:w="0" w:type="dxa"/>
            <w:vAlign w:val="bottom"/>
          </w:tcPr>
          <w:p>
            <w:pPr>
              <w:spacing w:after="0"/>
              <w:rPr>
                <w:sz w:val="1"/>
                <w:szCs w:val="1"/>
                <w:color w:val="auto"/>
              </w:rPr>
            </w:pPr>
          </w:p>
        </w:tc>
      </w:tr>
      <w:tr>
        <w:trPr>
          <w:trHeight w:val="253"/>
        </w:trPr>
        <w:tc>
          <w:tcPr>
            <w:tcW w:w="1080" w:type="dxa"/>
            <w:vAlign w:val="bottom"/>
            <w:shd w:val="clear" w:color="auto" w:fill="1D3060"/>
          </w:tcPr>
          <w:p>
            <w:pPr>
              <w:spacing w:after="0"/>
              <w:rPr>
                <w:sz w:val="22"/>
                <w:szCs w:val="22"/>
                <w:color w:val="auto"/>
              </w:rPr>
            </w:pPr>
          </w:p>
        </w:tc>
        <w:tc>
          <w:tcPr>
            <w:tcW w:w="7800" w:type="dxa"/>
            <w:vAlign w:val="bottom"/>
            <w:vMerge w:val="continue"/>
            <w:shd w:val="clear" w:color="auto" w:fill="1D3060"/>
          </w:tcPr>
          <w:p>
            <w:pPr>
              <w:spacing w:after="0"/>
              <w:rPr>
                <w:sz w:val="22"/>
                <w:szCs w:val="22"/>
                <w:color w:val="auto"/>
              </w:rPr>
            </w:pPr>
          </w:p>
        </w:tc>
        <w:tc>
          <w:tcPr>
            <w:tcW w:w="2140" w:type="dxa"/>
            <w:vAlign w:val="bottom"/>
            <w:shd w:val="clear" w:color="auto" w:fill="1D3060"/>
          </w:tcPr>
          <w:p>
            <w:pPr>
              <w:ind w:left="80"/>
              <w:spacing w:after="0"/>
              <w:rPr>
                <w:sz w:val="20"/>
                <w:szCs w:val="20"/>
                <w:color w:val="auto"/>
              </w:rPr>
            </w:pPr>
            <w:r>
              <w:rPr>
                <w:rFonts w:ascii="Arial" w:cs="Arial" w:eastAsia="Arial" w:hAnsi="Arial"/>
                <w:sz w:val="20"/>
                <w:szCs w:val="20"/>
                <w:b w:val="1"/>
                <w:bCs w:val="1"/>
                <w:color w:val="FFFFFF"/>
              </w:rPr>
              <w:t xml:space="preserve">Recommendation    </w:t>
            </w:r>
          </w:p>
        </w:tc>
        <w:tc>
          <w:tcPr>
            <w:tcW w:w="0" w:type="dxa"/>
            <w:vAlign w:val="bottom"/>
          </w:tcPr>
          <w:p>
            <w:pPr>
              <w:spacing w:after="0"/>
              <w:rPr>
                <w:sz w:val="1"/>
                <w:szCs w:val="1"/>
                <w:color w:val="auto"/>
              </w:rPr>
            </w:pPr>
          </w:p>
        </w:tc>
      </w:tr>
      <w:tr>
        <w:trPr>
          <w:trHeight w:val="466"/>
        </w:trPr>
        <w:tc>
          <w:tcPr>
            <w:tcW w:w="1080" w:type="dxa"/>
            <w:vAlign w:val="bottom"/>
            <w:shd w:val="clear" w:color="auto" w:fill="D7E8F5"/>
          </w:tcPr>
          <w:p>
            <w:pPr>
              <w:spacing w:after="0"/>
              <w:rPr>
                <w:sz w:val="20"/>
                <w:szCs w:val="20"/>
                <w:color w:val="auto"/>
              </w:rPr>
            </w:pPr>
            <w:r>
              <w:rPr>
                <w:rFonts w:ascii="Arial" w:cs="Arial" w:eastAsia="Arial" w:hAnsi="Arial"/>
                <w:sz w:val="20"/>
                <w:szCs w:val="20"/>
                <w:color w:val="auto"/>
              </w:rPr>
              <w:t>Proposal 1</w:t>
            </w:r>
          </w:p>
        </w:tc>
        <w:tc>
          <w:tcPr>
            <w:tcW w:w="7800" w:type="dxa"/>
            <w:vAlign w:val="bottom"/>
            <w:shd w:val="clear" w:color="auto" w:fill="D7E8F5"/>
          </w:tcPr>
          <w:p>
            <w:pPr>
              <w:ind w:left="720"/>
              <w:spacing w:after="0"/>
              <w:rPr>
                <w:sz w:val="20"/>
                <w:szCs w:val="20"/>
                <w:color w:val="auto"/>
              </w:rPr>
            </w:pPr>
            <w:r>
              <w:rPr>
                <w:rFonts w:ascii="Arial" w:cs="Arial" w:eastAsia="Arial" w:hAnsi="Arial"/>
                <w:sz w:val="20"/>
                <w:szCs w:val="20"/>
                <w:b w:val="1"/>
                <w:bCs w:val="1"/>
                <w:color w:val="auto"/>
              </w:rPr>
              <w:t>Election of Four (4) Class II Directors</w:t>
            </w:r>
          </w:p>
        </w:tc>
        <w:tc>
          <w:tcPr>
            <w:tcW w:w="2140" w:type="dxa"/>
            <w:vAlign w:val="bottom"/>
            <w:shd w:val="clear" w:color="auto" w:fill="D7E8F5"/>
          </w:tcPr>
          <w:p>
            <w:pPr>
              <w:jc w:val="center"/>
              <w:ind w:right="221"/>
              <w:spacing w:after="0"/>
              <w:rPr>
                <w:sz w:val="20"/>
                <w:szCs w:val="20"/>
                <w:color w:val="auto"/>
              </w:rPr>
            </w:pPr>
            <w:r>
              <w:rPr>
                <w:rFonts w:ascii="Arial" w:cs="Arial" w:eastAsia="Arial" w:hAnsi="Arial"/>
                <w:sz w:val="20"/>
                <w:szCs w:val="20"/>
                <w:color w:val="auto"/>
                <w:w w:val="97"/>
              </w:rPr>
              <w:t>FOR All Nominees</w:t>
            </w:r>
          </w:p>
        </w:tc>
        <w:tc>
          <w:tcPr>
            <w:tcW w:w="0" w:type="dxa"/>
            <w:vAlign w:val="bottom"/>
          </w:tcPr>
          <w:p>
            <w:pPr>
              <w:spacing w:after="0"/>
              <w:rPr>
                <w:sz w:val="1"/>
                <w:szCs w:val="1"/>
                <w:color w:val="auto"/>
              </w:rPr>
            </w:pPr>
          </w:p>
        </w:tc>
      </w:tr>
      <w:tr>
        <w:trPr>
          <w:trHeight w:val="88"/>
        </w:trPr>
        <w:tc>
          <w:tcPr>
            <w:tcW w:w="1080" w:type="dxa"/>
            <w:vAlign w:val="bottom"/>
            <w:shd w:val="clear" w:color="auto" w:fill="D7E8F5"/>
          </w:tcPr>
          <w:p>
            <w:pPr>
              <w:spacing w:after="0"/>
              <w:rPr>
                <w:sz w:val="7"/>
                <w:szCs w:val="7"/>
                <w:color w:val="auto"/>
              </w:rPr>
            </w:pPr>
          </w:p>
        </w:tc>
        <w:tc>
          <w:tcPr>
            <w:tcW w:w="7800" w:type="dxa"/>
            <w:vAlign w:val="bottom"/>
            <w:shd w:val="clear" w:color="auto" w:fill="D7E8F5"/>
          </w:tcPr>
          <w:p>
            <w:pPr>
              <w:spacing w:after="0"/>
              <w:rPr>
                <w:sz w:val="7"/>
                <w:szCs w:val="7"/>
                <w:color w:val="auto"/>
              </w:rPr>
            </w:pPr>
          </w:p>
        </w:tc>
        <w:tc>
          <w:tcPr>
            <w:tcW w:w="2140" w:type="dxa"/>
            <w:vAlign w:val="bottom"/>
            <w:shd w:val="clear" w:color="auto" w:fill="D7E8F5"/>
          </w:tcPr>
          <w:p>
            <w:pPr>
              <w:spacing w:after="0"/>
              <w:rPr>
                <w:sz w:val="7"/>
                <w:szCs w:val="7"/>
                <w:color w:val="auto"/>
              </w:rPr>
            </w:pPr>
          </w:p>
        </w:tc>
        <w:tc>
          <w:tcPr>
            <w:tcW w:w="0" w:type="dxa"/>
            <w:vAlign w:val="bottom"/>
          </w:tcPr>
          <w:p>
            <w:pPr>
              <w:spacing w:after="0"/>
              <w:rPr>
                <w:sz w:val="1"/>
                <w:szCs w:val="1"/>
                <w:color w:val="auto"/>
              </w:rPr>
            </w:pPr>
          </w:p>
        </w:tc>
      </w:tr>
      <w:tr>
        <w:trPr>
          <w:trHeight w:val="408"/>
        </w:trPr>
        <w:tc>
          <w:tcPr>
            <w:tcW w:w="1080" w:type="dxa"/>
            <w:vAlign w:val="bottom"/>
          </w:tcPr>
          <w:p>
            <w:pPr>
              <w:spacing w:after="0"/>
              <w:rPr>
                <w:sz w:val="20"/>
                <w:szCs w:val="20"/>
                <w:color w:val="auto"/>
              </w:rPr>
            </w:pPr>
            <w:r>
              <w:rPr>
                <w:rFonts w:ascii="Arial" w:cs="Arial" w:eastAsia="Arial" w:hAnsi="Arial"/>
                <w:sz w:val="20"/>
                <w:szCs w:val="20"/>
                <w:color w:val="auto"/>
              </w:rPr>
              <w:t>Proposal 2</w:t>
            </w:r>
          </w:p>
        </w:tc>
        <w:tc>
          <w:tcPr>
            <w:tcW w:w="7800" w:type="dxa"/>
            <w:vAlign w:val="bottom"/>
          </w:tcPr>
          <w:p>
            <w:pPr>
              <w:ind w:left="720"/>
              <w:spacing w:after="0"/>
              <w:rPr>
                <w:sz w:val="20"/>
                <w:szCs w:val="20"/>
                <w:color w:val="auto"/>
              </w:rPr>
            </w:pPr>
            <w:r>
              <w:rPr>
                <w:rFonts w:ascii="Arial" w:cs="Arial" w:eastAsia="Arial" w:hAnsi="Arial"/>
                <w:sz w:val="20"/>
                <w:szCs w:val="20"/>
                <w:b w:val="1"/>
                <w:bCs w:val="1"/>
                <w:color w:val="auto"/>
              </w:rPr>
              <w:t>Say-on-Pay—Advisory Vote on Approval of Executive</w:t>
            </w:r>
          </w:p>
        </w:tc>
        <w:tc>
          <w:tcPr>
            <w:tcW w:w="2140" w:type="dxa"/>
            <w:vAlign w:val="bottom"/>
          </w:tcPr>
          <w:p>
            <w:pPr>
              <w:jc w:val="center"/>
              <w:ind w:right="221"/>
              <w:spacing w:after="0"/>
              <w:rPr>
                <w:sz w:val="20"/>
                <w:szCs w:val="20"/>
                <w:color w:val="auto"/>
              </w:rPr>
            </w:pPr>
            <w:r>
              <w:rPr>
                <w:rFonts w:ascii="Arial" w:cs="Arial" w:eastAsia="Arial" w:hAnsi="Arial"/>
                <w:sz w:val="20"/>
                <w:szCs w:val="20"/>
                <w:color w:val="auto"/>
                <w:w w:val="99"/>
              </w:rPr>
              <w:t>FOR</w:t>
            </w:r>
          </w:p>
        </w:tc>
        <w:tc>
          <w:tcPr>
            <w:tcW w:w="0" w:type="dxa"/>
            <w:vAlign w:val="bottom"/>
          </w:tcPr>
          <w:p>
            <w:pPr>
              <w:spacing w:after="0"/>
              <w:rPr>
                <w:sz w:val="1"/>
                <w:szCs w:val="1"/>
                <w:color w:val="auto"/>
              </w:rPr>
            </w:pPr>
          </w:p>
        </w:tc>
      </w:tr>
      <w:tr>
        <w:trPr>
          <w:trHeight w:val="240"/>
        </w:trPr>
        <w:tc>
          <w:tcPr>
            <w:tcW w:w="1080" w:type="dxa"/>
            <w:vAlign w:val="bottom"/>
          </w:tcPr>
          <w:p>
            <w:pPr>
              <w:spacing w:after="0"/>
              <w:rPr>
                <w:sz w:val="20"/>
                <w:szCs w:val="20"/>
                <w:color w:val="auto"/>
              </w:rPr>
            </w:pPr>
          </w:p>
        </w:tc>
        <w:tc>
          <w:tcPr>
            <w:tcW w:w="7800" w:type="dxa"/>
            <w:vAlign w:val="bottom"/>
          </w:tcPr>
          <w:p>
            <w:pPr>
              <w:ind w:left="720"/>
              <w:spacing w:after="0"/>
              <w:rPr>
                <w:sz w:val="20"/>
                <w:szCs w:val="20"/>
                <w:color w:val="auto"/>
              </w:rPr>
            </w:pPr>
            <w:r>
              <w:rPr>
                <w:rFonts w:ascii="Arial" w:cs="Arial" w:eastAsia="Arial" w:hAnsi="Arial"/>
                <w:sz w:val="20"/>
                <w:szCs w:val="20"/>
                <w:b w:val="1"/>
                <w:bCs w:val="1"/>
                <w:color w:val="auto"/>
              </w:rPr>
              <w:t>Compensation</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080" w:type="dxa"/>
            <w:vAlign w:val="bottom"/>
            <w:shd w:val="clear" w:color="auto" w:fill="D7E8F5"/>
          </w:tcPr>
          <w:p>
            <w:pPr>
              <w:spacing w:after="0"/>
              <w:rPr>
                <w:sz w:val="20"/>
                <w:szCs w:val="20"/>
                <w:color w:val="auto"/>
              </w:rPr>
            </w:pPr>
            <w:r>
              <w:rPr>
                <w:rFonts w:ascii="Arial" w:cs="Arial" w:eastAsia="Arial" w:hAnsi="Arial"/>
                <w:sz w:val="20"/>
                <w:szCs w:val="20"/>
                <w:color w:val="auto"/>
              </w:rPr>
              <w:t>Proposal 3</w:t>
            </w:r>
          </w:p>
        </w:tc>
        <w:tc>
          <w:tcPr>
            <w:tcW w:w="7800" w:type="dxa"/>
            <w:vAlign w:val="bottom"/>
            <w:shd w:val="clear" w:color="auto" w:fill="D7E8F5"/>
          </w:tcPr>
          <w:p>
            <w:pPr>
              <w:ind w:left="720"/>
              <w:spacing w:after="0"/>
              <w:rPr>
                <w:sz w:val="20"/>
                <w:szCs w:val="20"/>
                <w:color w:val="auto"/>
              </w:rPr>
            </w:pPr>
            <w:r>
              <w:rPr>
                <w:rFonts w:ascii="Arial" w:cs="Arial" w:eastAsia="Arial" w:hAnsi="Arial"/>
                <w:sz w:val="20"/>
                <w:szCs w:val="20"/>
                <w:b w:val="1"/>
                <w:bCs w:val="1"/>
                <w:color w:val="auto"/>
              </w:rPr>
              <w:t>Ratification of Independent Auditors</w:t>
            </w:r>
          </w:p>
        </w:tc>
        <w:tc>
          <w:tcPr>
            <w:tcW w:w="2140" w:type="dxa"/>
            <w:vAlign w:val="bottom"/>
            <w:shd w:val="clear" w:color="auto" w:fill="D7E8F5"/>
          </w:tcPr>
          <w:p>
            <w:pPr>
              <w:jc w:val="center"/>
              <w:ind w:right="221"/>
              <w:spacing w:after="0"/>
              <w:rPr>
                <w:sz w:val="20"/>
                <w:szCs w:val="20"/>
                <w:color w:val="auto"/>
              </w:rPr>
            </w:pPr>
            <w:r>
              <w:rPr>
                <w:rFonts w:ascii="Arial" w:cs="Arial" w:eastAsia="Arial" w:hAnsi="Arial"/>
                <w:sz w:val="20"/>
                <w:szCs w:val="20"/>
                <w:color w:val="auto"/>
                <w:w w:val="99"/>
              </w:rPr>
              <w:t>FOR</w:t>
            </w:r>
          </w:p>
        </w:tc>
        <w:tc>
          <w:tcPr>
            <w:tcW w:w="0" w:type="dxa"/>
            <w:vAlign w:val="bottom"/>
          </w:tcPr>
          <w:p>
            <w:pPr>
              <w:spacing w:after="0"/>
              <w:rPr>
                <w:sz w:val="1"/>
                <w:szCs w:val="1"/>
                <w:color w:val="auto"/>
              </w:rPr>
            </w:pPr>
          </w:p>
        </w:tc>
      </w:tr>
      <w:tr>
        <w:trPr>
          <w:trHeight w:val="74"/>
        </w:trPr>
        <w:tc>
          <w:tcPr>
            <w:tcW w:w="1080" w:type="dxa"/>
            <w:vAlign w:val="bottom"/>
            <w:tcBorders>
              <w:bottom w:val="single" w:sz="8" w:color="2275B5"/>
            </w:tcBorders>
            <w:shd w:val="clear" w:color="auto" w:fill="D7E8F5"/>
          </w:tcPr>
          <w:p>
            <w:pPr>
              <w:spacing w:after="0"/>
              <w:rPr>
                <w:sz w:val="6"/>
                <w:szCs w:val="6"/>
                <w:color w:val="auto"/>
              </w:rPr>
            </w:pPr>
          </w:p>
        </w:tc>
        <w:tc>
          <w:tcPr>
            <w:tcW w:w="7800" w:type="dxa"/>
            <w:vAlign w:val="bottom"/>
            <w:tcBorders>
              <w:bottom w:val="single" w:sz="8" w:color="2275B5"/>
            </w:tcBorders>
            <w:shd w:val="clear" w:color="auto" w:fill="D7E8F5"/>
          </w:tcPr>
          <w:p>
            <w:pPr>
              <w:spacing w:after="0"/>
              <w:rPr>
                <w:sz w:val="6"/>
                <w:szCs w:val="6"/>
                <w:color w:val="auto"/>
              </w:rPr>
            </w:pPr>
          </w:p>
        </w:tc>
        <w:tc>
          <w:tcPr>
            <w:tcW w:w="2140" w:type="dxa"/>
            <w:vAlign w:val="bottom"/>
            <w:tcBorders>
              <w:bottom w:val="single" w:sz="8" w:color="2275B5"/>
            </w:tcBorders>
            <w:shd w:val="clear" w:color="auto" w:fill="D7E8F5"/>
          </w:tcPr>
          <w:p>
            <w:pPr>
              <w:spacing w:after="0"/>
              <w:rPr>
                <w:sz w:val="6"/>
                <w:szCs w:val="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120" w:right="260"/>
        <w:spacing w:after="0" w:line="241" w:lineRule="auto"/>
        <w:rPr>
          <w:sz w:val="20"/>
          <w:szCs w:val="20"/>
          <w:color w:val="auto"/>
        </w:rPr>
      </w:pPr>
      <w:r>
        <w:rPr>
          <w:rFonts w:ascii="Arial" w:cs="Arial" w:eastAsia="Arial" w:hAnsi="Arial"/>
          <w:sz w:val="20"/>
          <w:szCs w:val="20"/>
          <w:color w:val="auto"/>
        </w:rPr>
        <w:t>All proxies will be voted in accordance with the instructions contained in those proxies. If no choice is specified, the proxies will be voted in favor of the matters set forth in the accompanying Notice of Meeting. On any other matters properly brought before the annual meeting, the named proxies may vote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How to Vote</w:t>
      </w:r>
    </w:p>
    <w:p>
      <w:pPr>
        <w:spacing w:after="0" w:line="233" w:lineRule="exact"/>
        <w:rPr>
          <w:sz w:val="20"/>
          <w:szCs w:val="20"/>
          <w:color w:val="auto"/>
        </w:rPr>
      </w:pPr>
    </w:p>
    <w:tbl>
      <w:tblPr>
        <w:tblLayout w:type="fixed"/>
        <w:tblInd w:w="130" w:type="dxa"/>
        <w:tblCellMar>
          <w:top w:w="0" w:type="dxa"/>
          <w:left w:w="0" w:type="dxa"/>
          <w:bottom w:w="0" w:type="dxa"/>
          <w:right w:w="0" w:type="dxa"/>
        </w:tblCellMar>
      </w:tblPr>
      <w:tr>
        <w:trPr>
          <w:trHeight w:val="410"/>
        </w:trPr>
        <w:tc>
          <w:tcPr>
            <w:tcW w:w="700" w:type="dxa"/>
            <w:vAlign w:val="bottom"/>
            <w:tcBorders>
              <w:top w:val="single" w:sz="8" w:color="auto"/>
              <w:left w:val="single" w:sz="8" w:color="auto"/>
              <w:bottom w:val="single" w:sz="8" w:color="1D3060"/>
            </w:tcBorders>
            <w:shd w:val="clear" w:color="auto" w:fill="1D3060"/>
          </w:tcPr>
          <w:p>
            <w:pPr>
              <w:spacing w:after="0"/>
              <w:rPr>
                <w:sz w:val="24"/>
                <w:szCs w:val="24"/>
                <w:color w:val="auto"/>
              </w:rPr>
            </w:pPr>
          </w:p>
        </w:tc>
        <w:tc>
          <w:tcPr>
            <w:tcW w:w="7560" w:type="dxa"/>
            <w:vAlign w:val="bottom"/>
            <w:tcBorders>
              <w:top w:val="single" w:sz="8" w:color="auto"/>
              <w:bottom w:val="single" w:sz="8" w:color="1D3060"/>
            </w:tcBorders>
            <w:gridSpan w:val="6"/>
            <w:shd w:val="clear" w:color="auto" w:fill="1D3060"/>
          </w:tcPr>
          <w:p>
            <w:pPr>
              <w:ind w:left="1100"/>
              <w:spacing w:after="0"/>
              <w:rPr>
                <w:sz w:val="20"/>
                <w:szCs w:val="20"/>
                <w:color w:val="auto"/>
              </w:rPr>
            </w:pPr>
            <w:r>
              <w:rPr>
                <w:rFonts w:ascii="Arial" w:cs="Arial" w:eastAsia="Arial" w:hAnsi="Arial"/>
                <w:sz w:val="20"/>
                <w:szCs w:val="20"/>
                <w:b w:val="1"/>
                <w:bCs w:val="1"/>
                <w:color w:val="FFFFFF"/>
              </w:rPr>
              <w:t>Vote Right Away Through Advance Voting Methods</w:t>
            </w:r>
          </w:p>
        </w:tc>
        <w:tc>
          <w:tcPr>
            <w:tcW w:w="180" w:type="dxa"/>
            <w:vAlign w:val="bottom"/>
            <w:tcBorders>
              <w:top w:val="single" w:sz="8" w:color="auto"/>
              <w:bottom w:val="single" w:sz="8" w:color="1D3060"/>
            </w:tcBorders>
            <w:shd w:val="clear" w:color="auto" w:fill="1D3060"/>
          </w:tcPr>
          <w:p>
            <w:pPr>
              <w:spacing w:after="0"/>
              <w:rPr>
                <w:sz w:val="24"/>
                <w:szCs w:val="24"/>
                <w:color w:val="auto"/>
              </w:rPr>
            </w:pPr>
          </w:p>
        </w:tc>
        <w:tc>
          <w:tcPr>
            <w:tcW w:w="2600" w:type="dxa"/>
            <w:vAlign w:val="bottom"/>
            <w:tcBorders>
              <w:top w:val="single" w:sz="8" w:color="auto"/>
              <w:bottom w:val="single" w:sz="8" w:color="1D3060"/>
              <w:right w:val="single" w:sz="8" w:color="auto"/>
            </w:tcBorders>
            <w:shd w:val="clear" w:color="auto" w:fill="1D3060"/>
          </w:tcPr>
          <w:p>
            <w:pPr>
              <w:ind w:left="60"/>
              <w:spacing w:after="0"/>
              <w:rPr>
                <w:sz w:val="20"/>
                <w:szCs w:val="20"/>
                <w:color w:val="auto"/>
              </w:rPr>
            </w:pPr>
            <w:r>
              <w:rPr>
                <w:rFonts w:ascii="Arial" w:cs="Arial" w:eastAsia="Arial" w:hAnsi="Arial"/>
                <w:sz w:val="20"/>
                <w:szCs w:val="20"/>
                <w:b w:val="1"/>
                <w:bCs w:val="1"/>
                <w:color w:val="FFFFFF"/>
              </w:rPr>
              <w:t>Vote During Meeting</w:t>
            </w:r>
          </w:p>
        </w:tc>
        <w:tc>
          <w:tcPr>
            <w:tcW w:w="0" w:type="dxa"/>
            <w:vAlign w:val="bottom"/>
          </w:tcPr>
          <w:p>
            <w:pPr>
              <w:spacing w:after="0"/>
              <w:rPr>
                <w:sz w:val="1"/>
                <w:szCs w:val="1"/>
                <w:color w:val="auto"/>
              </w:rPr>
            </w:pPr>
          </w:p>
        </w:tc>
      </w:tr>
      <w:tr>
        <w:trPr>
          <w:trHeight w:val="280"/>
        </w:trPr>
        <w:tc>
          <w:tcPr>
            <w:tcW w:w="2600" w:type="dxa"/>
            <w:vAlign w:val="bottom"/>
            <w:tcBorders>
              <w:top w:val="single" w:sz="8" w:color="auto"/>
              <w:left w:val="single" w:sz="8" w:color="auto"/>
            </w:tcBorders>
            <w:gridSpan w:val="3"/>
          </w:tcPr>
          <w:p>
            <w:pPr>
              <w:ind w:left="160"/>
              <w:spacing w:after="0"/>
              <w:rPr>
                <w:sz w:val="20"/>
                <w:szCs w:val="20"/>
                <w:color w:val="auto"/>
              </w:rPr>
            </w:pPr>
            <w:r>
              <w:rPr>
                <w:rFonts w:ascii="Arial" w:cs="Arial" w:eastAsia="Arial" w:hAnsi="Arial"/>
                <w:sz w:val="20"/>
                <w:szCs w:val="20"/>
                <w:b w:val="1"/>
                <w:bCs w:val="1"/>
                <w:color w:val="auto"/>
              </w:rPr>
              <w:t>Vote by Internet</w:t>
            </w:r>
          </w:p>
        </w:tc>
        <w:tc>
          <w:tcPr>
            <w:tcW w:w="180" w:type="dxa"/>
            <w:vAlign w:val="bottom"/>
            <w:tcBorders>
              <w:top w:val="single" w:sz="8" w:color="auto"/>
            </w:tcBorders>
            <w:shd w:val="clear" w:color="auto" w:fill="D7E8F5"/>
          </w:tcPr>
          <w:p>
            <w:pPr>
              <w:spacing w:after="0"/>
              <w:rPr>
                <w:sz w:val="24"/>
                <w:szCs w:val="24"/>
                <w:color w:val="auto"/>
              </w:rPr>
            </w:pPr>
          </w:p>
        </w:tc>
        <w:tc>
          <w:tcPr>
            <w:tcW w:w="270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Vote by</w:t>
            </w:r>
          </w:p>
        </w:tc>
        <w:tc>
          <w:tcPr>
            <w:tcW w:w="180" w:type="dxa"/>
            <w:vAlign w:val="bottom"/>
            <w:tcBorders>
              <w:top w:val="single" w:sz="8" w:color="auto"/>
            </w:tcBorders>
            <w:shd w:val="clear" w:color="auto" w:fill="D7E8F5"/>
          </w:tcPr>
          <w:p>
            <w:pPr>
              <w:spacing w:after="0"/>
              <w:rPr>
                <w:sz w:val="24"/>
                <w:szCs w:val="24"/>
                <w:color w:val="auto"/>
              </w:rPr>
            </w:pPr>
          </w:p>
        </w:tc>
        <w:tc>
          <w:tcPr>
            <w:tcW w:w="260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Vote by</w:t>
            </w:r>
          </w:p>
        </w:tc>
        <w:tc>
          <w:tcPr>
            <w:tcW w:w="180" w:type="dxa"/>
            <w:vAlign w:val="bottom"/>
            <w:tcBorders>
              <w:top w:val="single" w:sz="8" w:color="auto"/>
            </w:tcBorders>
            <w:shd w:val="clear" w:color="auto" w:fill="D7E8F5"/>
          </w:tcPr>
          <w:p>
            <w:pPr>
              <w:spacing w:after="0"/>
              <w:rPr>
                <w:sz w:val="24"/>
                <w:szCs w:val="24"/>
                <w:color w:val="auto"/>
              </w:rPr>
            </w:pPr>
          </w:p>
        </w:tc>
        <w:tc>
          <w:tcPr>
            <w:tcW w:w="26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auto"/>
              </w:rPr>
              <w:t>Vote During the</w:t>
            </w:r>
          </w:p>
        </w:tc>
        <w:tc>
          <w:tcPr>
            <w:tcW w:w="0" w:type="dxa"/>
            <w:vAlign w:val="bottom"/>
          </w:tcPr>
          <w:p>
            <w:pPr>
              <w:spacing w:after="0"/>
              <w:rPr>
                <w:sz w:val="1"/>
                <w:szCs w:val="1"/>
                <w:color w:val="auto"/>
              </w:rPr>
            </w:pPr>
          </w:p>
        </w:tc>
      </w:tr>
      <w:tr>
        <w:trPr>
          <w:trHeight w:val="273"/>
        </w:trPr>
        <w:tc>
          <w:tcPr>
            <w:tcW w:w="2600" w:type="dxa"/>
            <w:vAlign w:val="bottom"/>
            <w:tcBorders>
              <w:left w:val="single" w:sz="8" w:color="auto"/>
            </w:tcBorders>
            <w:gridSpan w:val="3"/>
          </w:tcPr>
          <w:p>
            <w:pPr>
              <w:ind w:left="160"/>
              <w:spacing w:after="0"/>
              <w:rPr>
                <w:sz w:val="20"/>
                <w:szCs w:val="20"/>
                <w:color w:val="auto"/>
              </w:rPr>
            </w:pPr>
            <w:r>
              <w:rPr>
                <w:rFonts w:ascii="Arial" w:cs="Arial" w:eastAsia="Arial" w:hAnsi="Arial"/>
                <w:sz w:val="20"/>
                <w:szCs w:val="20"/>
                <w:b w:val="1"/>
                <w:bCs w:val="1"/>
                <w:color w:val="auto"/>
              </w:rPr>
              <w:t>Using Your Computer</w:t>
            </w:r>
          </w:p>
        </w:tc>
        <w:tc>
          <w:tcPr>
            <w:tcW w:w="180" w:type="dxa"/>
            <w:vAlign w:val="bottom"/>
            <w:shd w:val="clear" w:color="auto" w:fill="D7E8F5"/>
          </w:tcPr>
          <w:p>
            <w:pPr>
              <w:spacing w:after="0"/>
              <w:rPr>
                <w:sz w:val="23"/>
                <w:szCs w:val="23"/>
                <w:color w:val="auto"/>
              </w:rPr>
            </w:pPr>
          </w:p>
        </w:tc>
        <w:tc>
          <w:tcPr>
            <w:tcW w:w="2700" w:type="dxa"/>
            <w:vAlign w:val="bottom"/>
          </w:tcPr>
          <w:p>
            <w:pPr>
              <w:ind w:left="100"/>
              <w:spacing w:after="0"/>
              <w:rPr>
                <w:sz w:val="20"/>
                <w:szCs w:val="20"/>
                <w:color w:val="auto"/>
              </w:rPr>
            </w:pPr>
            <w:r>
              <w:rPr>
                <w:rFonts w:ascii="Arial" w:cs="Arial" w:eastAsia="Arial" w:hAnsi="Arial"/>
                <w:sz w:val="20"/>
                <w:szCs w:val="20"/>
                <w:b w:val="1"/>
                <w:bCs w:val="1"/>
                <w:color w:val="auto"/>
              </w:rPr>
              <w:t>Telephone</w:t>
            </w:r>
          </w:p>
        </w:tc>
        <w:tc>
          <w:tcPr>
            <w:tcW w:w="180" w:type="dxa"/>
            <w:vAlign w:val="bottom"/>
            <w:shd w:val="clear" w:color="auto" w:fill="D7E8F5"/>
          </w:tcPr>
          <w:p>
            <w:pPr>
              <w:spacing w:after="0"/>
              <w:rPr>
                <w:sz w:val="23"/>
                <w:szCs w:val="23"/>
                <w:color w:val="auto"/>
              </w:rPr>
            </w:pPr>
          </w:p>
        </w:tc>
        <w:tc>
          <w:tcPr>
            <w:tcW w:w="2600" w:type="dxa"/>
            <w:vAlign w:val="bottom"/>
          </w:tcPr>
          <w:p>
            <w:pPr>
              <w:ind w:left="100"/>
              <w:spacing w:after="0"/>
              <w:rPr>
                <w:sz w:val="20"/>
                <w:szCs w:val="20"/>
                <w:color w:val="auto"/>
              </w:rPr>
            </w:pPr>
            <w:r>
              <w:rPr>
                <w:rFonts w:ascii="Arial" w:cs="Arial" w:eastAsia="Arial" w:hAnsi="Arial"/>
                <w:sz w:val="20"/>
                <w:szCs w:val="20"/>
                <w:b w:val="1"/>
                <w:bCs w:val="1"/>
                <w:color w:val="auto"/>
              </w:rPr>
              <w:t>Mail</w:t>
            </w:r>
          </w:p>
        </w:tc>
        <w:tc>
          <w:tcPr>
            <w:tcW w:w="180" w:type="dxa"/>
            <w:vAlign w:val="bottom"/>
            <w:shd w:val="clear" w:color="auto" w:fill="D7E8F5"/>
          </w:tcPr>
          <w:p>
            <w:pPr>
              <w:spacing w:after="0"/>
              <w:rPr>
                <w:sz w:val="23"/>
                <w:szCs w:val="23"/>
                <w:color w:val="auto"/>
              </w:rPr>
            </w:pPr>
          </w:p>
        </w:tc>
        <w:tc>
          <w:tcPr>
            <w:tcW w:w="2600" w:type="dxa"/>
            <w:vAlign w:val="bottom"/>
            <w:tcBorders>
              <w:right w:val="single" w:sz="8" w:color="auto"/>
            </w:tcBorders>
          </w:tcPr>
          <w:p>
            <w:pPr>
              <w:ind w:left="160"/>
              <w:spacing w:after="0"/>
              <w:rPr>
                <w:sz w:val="20"/>
                <w:szCs w:val="20"/>
                <w:color w:val="auto"/>
              </w:rPr>
            </w:pPr>
            <w:r>
              <w:rPr>
                <w:rFonts w:ascii="Arial" w:cs="Arial" w:eastAsia="Arial" w:hAnsi="Arial"/>
                <w:sz w:val="20"/>
                <w:szCs w:val="20"/>
                <w:b w:val="1"/>
                <w:bCs w:val="1"/>
                <w:color w:val="auto"/>
              </w:rPr>
              <w:t>Meeting</w:t>
            </w:r>
          </w:p>
        </w:tc>
        <w:tc>
          <w:tcPr>
            <w:tcW w:w="0" w:type="dxa"/>
            <w:vAlign w:val="bottom"/>
          </w:tcPr>
          <w:p>
            <w:pPr>
              <w:spacing w:after="0"/>
              <w:rPr>
                <w:sz w:val="1"/>
                <w:szCs w:val="1"/>
                <w:color w:val="auto"/>
              </w:rPr>
            </w:pPr>
          </w:p>
        </w:tc>
      </w:tr>
      <w:tr>
        <w:trPr>
          <w:trHeight w:val="993"/>
        </w:trPr>
        <w:tc>
          <w:tcPr>
            <w:tcW w:w="2600" w:type="dxa"/>
            <w:vAlign w:val="bottom"/>
            <w:tcBorders>
              <w:left w:val="single" w:sz="8" w:color="auto"/>
            </w:tcBorders>
            <w:gridSpan w:val="3"/>
          </w:tcPr>
          <w:p>
            <w:pPr>
              <w:ind w:left="160"/>
              <w:spacing w:after="0"/>
              <w:rPr>
                <w:sz w:val="20"/>
                <w:szCs w:val="20"/>
                <w:color w:val="auto"/>
              </w:rPr>
            </w:pPr>
            <w:r>
              <w:rPr>
                <w:rFonts w:ascii="Arial" w:cs="Arial" w:eastAsia="Arial" w:hAnsi="Arial"/>
                <w:sz w:val="20"/>
                <w:szCs w:val="20"/>
                <w:color w:val="auto"/>
              </w:rPr>
              <w:t xml:space="preserve">Go to </w:t>
            </w:r>
            <w:r>
              <w:rPr>
                <w:rFonts w:ascii="Arial" w:cs="Arial" w:eastAsia="Arial" w:hAnsi="Arial"/>
                <w:sz w:val="20"/>
                <w:szCs w:val="20"/>
                <w:i w:val="1"/>
                <w:iCs w:val="1"/>
                <w:color w:val="2275B5"/>
              </w:rPr>
              <w:t>www.proxyvote.com</w:t>
            </w:r>
          </w:p>
        </w:tc>
        <w:tc>
          <w:tcPr>
            <w:tcW w:w="180" w:type="dxa"/>
            <w:vAlign w:val="bottom"/>
            <w:shd w:val="clear" w:color="auto" w:fill="D7E8F5"/>
          </w:tcPr>
          <w:p>
            <w:pPr>
              <w:spacing w:after="0"/>
              <w:rPr>
                <w:sz w:val="24"/>
                <w:szCs w:val="24"/>
                <w:color w:val="auto"/>
              </w:rPr>
            </w:pPr>
          </w:p>
        </w:tc>
        <w:tc>
          <w:tcPr>
            <w:tcW w:w="2700" w:type="dxa"/>
            <w:vAlign w:val="bottom"/>
          </w:tcPr>
          <w:p>
            <w:pPr>
              <w:ind w:left="100"/>
              <w:spacing w:after="0"/>
              <w:rPr>
                <w:sz w:val="20"/>
                <w:szCs w:val="20"/>
                <w:color w:val="auto"/>
              </w:rPr>
            </w:pPr>
            <w:r>
              <w:rPr>
                <w:rFonts w:ascii="Arial" w:cs="Arial" w:eastAsia="Arial" w:hAnsi="Arial"/>
                <w:sz w:val="20"/>
                <w:szCs w:val="20"/>
                <w:color w:val="auto"/>
              </w:rPr>
              <w:t>Call 1-800-690-6903 or the</w:t>
            </w:r>
          </w:p>
        </w:tc>
        <w:tc>
          <w:tcPr>
            <w:tcW w:w="180" w:type="dxa"/>
            <w:vAlign w:val="bottom"/>
            <w:shd w:val="clear" w:color="auto" w:fill="D7E8F5"/>
          </w:tcPr>
          <w:p>
            <w:pPr>
              <w:spacing w:after="0"/>
              <w:rPr>
                <w:sz w:val="24"/>
                <w:szCs w:val="24"/>
                <w:color w:val="auto"/>
              </w:rPr>
            </w:pPr>
          </w:p>
        </w:tc>
        <w:tc>
          <w:tcPr>
            <w:tcW w:w="2600" w:type="dxa"/>
            <w:vAlign w:val="bottom"/>
          </w:tcPr>
          <w:p>
            <w:pPr>
              <w:ind w:left="100"/>
              <w:spacing w:after="0"/>
              <w:rPr>
                <w:sz w:val="20"/>
                <w:szCs w:val="20"/>
                <w:color w:val="auto"/>
              </w:rPr>
            </w:pPr>
            <w:r>
              <w:rPr>
                <w:rFonts w:ascii="Arial" w:cs="Arial" w:eastAsia="Arial" w:hAnsi="Arial"/>
                <w:sz w:val="20"/>
                <w:szCs w:val="20"/>
                <w:color w:val="auto"/>
                <w:w w:val="98"/>
              </w:rPr>
              <w:t>If you received printed proxy</w:t>
            </w:r>
          </w:p>
        </w:tc>
        <w:tc>
          <w:tcPr>
            <w:tcW w:w="180" w:type="dxa"/>
            <w:vAlign w:val="bottom"/>
            <w:shd w:val="clear" w:color="auto" w:fill="D7E8F5"/>
          </w:tcPr>
          <w:p>
            <w:pPr>
              <w:spacing w:after="0"/>
              <w:rPr>
                <w:sz w:val="24"/>
                <w:szCs w:val="24"/>
                <w:color w:val="auto"/>
              </w:rPr>
            </w:pPr>
          </w:p>
        </w:tc>
        <w:tc>
          <w:tcPr>
            <w:tcW w:w="260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See “Important Information</w:t>
            </w:r>
          </w:p>
        </w:tc>
        <w:tc>
          <w:tcPr>
            <w:tcW w:w="0" w:type="dxa"/>
            <w:vAlign w:val="bottom"/>
          </w:tcPr>
          <w:p>
            <w:pPr>
              <w:spacing w:after="0"/>
              <w:rPr>
                <w:sz w:val="1"/>
                <w:szCs w:val="1"/>
                <w:color w:val="auto"/>
              </w:rPr>
            </w:pPr>
          </w:p>
        </w:tc>
      </w:tr>
      <w:tr>
        <w:trPr>
          <w:trHeight w:val="20"/>
        </w:trPr>
        <w:tc>
          <w:tcPr>
            <w:tcW w:w="700" w:type="dxa"/>
            <w:vAlign w:val="bottom"/>
            <w:tcBorders>
              <w:left w:val="single" w:sz="8" w:color="auto"/>
            </w:tcBorders>
          </w:tcPr>
          <w:p>
            <w:pPr>
              <w:spacing w:after="0" w:line="20" w:lineRule="exact"/>
              <w:rPr>
                <w:sz w:val="1"/>
                <w:szCs w:val="1"/>
                <w:color w:val="auto"/>
              </w:rPr>
            </w:pPr>
          </w:p>
        </w:tc>
        <w:tc>
          <w:tcPr>
            <w:tcW w:w="1760" w:type="dxa"/>
            <w:vAlign w:val="bottom"/>
            <w:shd w:val="clear" w:color="auto" w:fill="2275B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D7E8F5"/>
          </w:tcPr>
          <w:p>
            <w:pPr>
              <w:spacing w:after="0" w:line="20" w:lineRule="exact"/>
              <w:rPr>
                <w:sz w:val="1"/>
                <w:szCs w:val="1"/>
                <w:color w:val="auto"/>
              </w:rPr>
            </w:pPr>
          </w:p>
        </w:tc>
        <w:tc>
          <w:tcPr>
            <w:tcW w:w="2700" w:type="dxa"/>
            <w:vAlign w:val="bottom"/>
            <w:vMerge w:val="restart"/>
          </w:tcPr>
          <w:p>
            <w:pPr>
              <w:ind w:left="100"/>
              <w:spacing w:after="0" w:line="222" w:lineRule="exact"/>
              <w:rPr>
                <w:sz w:val="20"/>
                <w:szCs w:val="20"/>
                <w:color w:val="auto"/>
              </w:rPr>
            </w:pPr>
            <w:r>
              <w:rPr>
                <w:rFonts w:ascii="Arial" w:cs="Arial" w:eastAsia="Arial" w:hAnsi="Arial"/>
                <w:sz w:val="20"/>
                <w:szCs w:val="20"/>
                <w:color w:val="auto"/>
              </w:rPr>
              <w:t>number on your proxy card</w:t>
            </w:r>
          </w:p>
        </w:tc>
        <w:tc>
          <w:tcPr>
            <w:tcW w:w="180" w:type="dxa"/>
            <w:vAlign w:val="bottom"/>
            <w:shd w:val="clear" w:color="auto" w:fill="D7E8F5"/>
          </w:tcPr>
          <w:p>
            <w:pPr>
              <w:spacing w:after="0" w:line="20" w:lineRule="exact"/>
              <w:rPr>
                <w:sz w:val="1"/>
                <w:szCs w:val="1"/>
                <w:color w:val="auto"/>
              </w:rPr>
            </w:pPr>
          </w:p>
        </w:tc>
        <w:tc>
          <w:tcPr>
            <w:tcW w:w="2600" w:type="dxa"/>
            <w:vAlign w:val="bottom"/>
            <w:vMerge w:val="restart"/>
          </w:tcPr>
          <w:p>
            <w:pPr>
              <w:ind w:left="100"/>
              <w:spacing w:after="0" w:line="222" w:lineRule="exact"/>
              <w:rPr>
                <w:sz w:val="20"/>
                <w:szCs w:val="20"/>
                <w:color w:val="auto"/>
              </w:rPr>
            </w:pPr>
            <w:r>
              <w:rPr>
                <w:rFonts w:ascii="Arial" w:cs="Arial" w:eastAsia="Arial" w:hAnsi="Arial"/>
                <w:sz w:val="20"/>
                <w:szCs w:val="20"/>
                <w:color w:val="auto"/>
              </w:rPr>
              <w:t>materials, complete, sign</w:t>
            </w:r>
          </w:p>
        </w:tc>
        <w:tc>
          <w:tcPr>
            <w:tcW w:w="180" w:type="dxa"/>
            <w:vAlign w:val="bottom"/>
            <w:shd w:val="clear" w:color="auto" w:fill="D7E8F5"/>
          </w:tcPr>
          <w:p>
            <w:pPr>
              <w:spacing w:after="0" w:line="20" w:lineRule="exact"/>
              <w:rPr>
                <w:sz w:val="1"/>
                <w:szCs w:val="1"/>
                <w:color w:val="auto"/>
              </w:rPr>
            </w:pPr>
          </w:p>
        </w:tc>
        <w:tc>
          <w:tcPr>
            <w:tcW w:w="2600" w:type="dxa"/>
            <w:vAlign w:val="bottom"/>
            <w:tcBorders>
              <w:right w:val="single" w:sz="8" w:color="auto"/>
            </w:tcBorders>
            <w:vMerge w:val="restart"/>
          </w:tcPr>
          <w:p>
            <w:pPr>
              <w:ind w:left="160"/>
              <w:spacing w:after="0" w:line="222" w:lineRule="exact"/>
              <w:rPr>
                <w:sz w:val="20"/>
                <w:szCs w:val="20"/>
                <w:color w:val="auto"/>
              </w:rPr>
            </w:pPr>
            <w:r>
              <w:rPr>
                <w:rFonts w:ascii="Arial" w:cs="Arial" w:eastAsia="Arial" w:hAnsi="Arial"/>
                <w:sz w:val="20"/>
                <w:szCs w:val="20"/>
                <w:color w:val="auto"/>
              </w:rPr>
              <w:t>About the Annual Meeting</w:t>
            </w:r>
          </w:p>
        </w:tc>
        <w:tc>
          <w:tcPr>
            <w:tcW w:w="0" w:type="dxa"/>
            <w:vAlign w:val="bottom"/>
          </w:tcPr>
          <w:p>
            <w:pPr>
              <w:spacing w:after="0" w:line="20" w:lineRule="exact"/>
              <w:rPr>
                <w:sz w:val="1"/>
                <w:szCs w:val="1"/>
                <w:color w:val="auto"/>
              </w:rPr>
            </w:pPr>
          </w:p>
        </w:tc>
      </w:tr>
      <w:tr>
        <w:trPr>
          <w:trHeight w:val="201"/>
        </w:trPr>
        <w:tc>
          <w:tcPr>
            <w:tcW w:w="2460" w:type="dxa"/>
            <w:vAlign w:val="bottom"/>
            <w:tcBorders>
              <w:left w:val="single" w:sz="8" w:color="auto"/>
            </w:tcBorders>
            <w:gridSpan w:val="2"/>
          </w:tcPr>
          <w:p>
            <w:pPr>
              <w:ind w:left="160"/>
              <w:spacing w:after="0" w:line="202" w:lineRule="exact"/>
              <w:rPr>
                <w:sz w:val="20"/>
                <w:szCs w:val="20"/>
                <w:color w:val="auto"/>
              </w:rPr>
            </w:pPr>
            <w:r>
              <w:rPr>
                <w:rFonts w:ascii="Arial" w:cs="Arial" w:eastAsia="Arial" w:hAnsi="Arial"/>
                <w:sz w:val="20"/>
                <w:szCs w:val="20"/>
                <w:color w:val="auto"/>
              </w:rPr>
              <w:t>and enter the 16-digit</w:t>
            </w:r>
          </w:p>
        </w:tc>
        <w:tc>
          <w:tcPr>
            <w:tcW w:w="140" w:type="dxa"/>
            <w:vAlign w:val="bottom"/>
          </w:tcPr>
          <w:p>
            <w:pPr>
              <w:spacing w:after="0"/>
              <w:rPr>
                <w:sz w:val="17"/>
                <w:szCs w:val="17"/>
                <w:color w:val="auto"/>
              </w:rPr>
            </w:pPr>
          </w:p>
        </w:tc>
        <w:tc>
          <w:tcPr>
            <w:tcW w:w="180" w:type="dxa"/>
            <w:vAlign w:val="bottom"/>
            <w:shd w:val="clear" w:color="auto" w:fill="D7E8F5"/>
          </w:tcPr>
          <w:p>
            <w:pPr>
              <w:spacing w:after="0"/>
              <w:rPr>
                <w:sz w:val="17"/>
                <w:szCs w:val="17"/>
                <w:color w:val="auto"/>
              </w:rPr>
            </w:pPr>
          </w:p>
        </w:tc>
        <w:tc>
          <w:tcPr>
            <w:tcW w:w="2700" w:type="dxa"/>
            <w:vAlign w:val="bottom"/>
            <w:vMerge w:val="continue"/>
          </w:tcPr>
          <w:p>
            <w:pPr>
              <w:spacing w:after="0"/>
              <w:rPr>
                <w:sz w:val="17"/>
                <w:szCs w:val="17"/>
                <w:color w:val="auto"/>
              </w:rPr>
            </w:pPr>
          </w:p>
        </w:tc>
        <w:tc>
          <w:tcPr>
            <w:tcW w:w="180" w:type="dxa"/>
            <w:vAlign w:val="bottom"/>
            <w:shd w:val="clear" w:color="auto" w:fill="D7E8F5"/>
          </w:tcPr>
          <w:p>
            <w:pPr>
              <w:spacing w:after="0"/>
              <w:rPr>
                <w:sz w:val="17"/>
                <w:szCs w:val="17"/>
                <w:color w:val="auto"/>
              </w:rPr>
            </w:pPr>
          </w:p>
        </w:tc>
        <w:tc>
          <w:tcPr>
            <w:tcW w:w="2600" w:type="dxa"/>
            <w:vAlign w:val="bottom"/>
            <w:vMerge w:val="continue"/>
          </w:tcPr>
          <w:p>
            <w:pPr>
              <w:spacing w:after="0"/>
              <w:rPr>
                <w:sz w:val="17"/>
                <w:szCs w:val="17"/>
                <w:color w:val="auto"/>
              </w:rPr>
            </w:pPr>
          </w:p>
        </w:tc>
        <w:tc>
          <w:tcPr>
            <w:tcW w:w="180" w:type="dxa"/>
            <w:vAlign w:val="bottom"/>
            <w:shd w:val="clear" w:color="auto" w:fill="D7E8F5"/>
          </w:tcPr>
          <w:p>
            <w:pPr>
              <w:spacing w:after="0"/>
              <w:rPr>
                <w:sz w:val="17"/>
                <w:szCs w:val="17"/>
                <w:color w:val="auto"/>
              </w:rPr>
            </w:pPr>
          </w:p>
        </w:tc>
        <w:tc>
          <w:tcPr>
            <w:tcW w:w="26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tcBorders>
            <w:gridSpan w:val="3"/>
          </w:tcPr>
          <w:p>
            <w:pPr>
              <w:ind w:left="160"/>
              <w:spacing w:after="0" w:line="216" w:lineRule="exact"/>
              <w:rPr>
                <w:sz w:val="20"/>
                <w:szCs w:val="20"/>
                <w:color w:val="auto"/>
              </w:rPr>
            </w:pPr>
            <w:r>
              <w:rPr>
                <w:rFonts w:ascii="Arial" w:cs="Arial" w:eastAsia="Arial" w:hAnsi="Arial"/>
                <w:sz w:val="20"/>
                <w:szCs w:val="20"/>
                <w:color w:val="auto"/>
                <w:w w:val="99"/>
              </w:rPr>
              <w:t>control number provided on</w:t>
            </w:r>
          </w:p>
        </w:tc>
        <w:tc>
          <w:tcPr>
            <w:tcW w:w="180" w:type="dxa"/>
            <w:vAlign w:val="bottom"/>
            <w:shd w:val="clear" w:color="auto" w:fill="D7E8F5"/>
          </w:tcPr>
          <w:p>
            <w:pPr>
              <w:spacing w:after="0"/>
              <w:rPr>
                <w:sz w:val="18"/>
                <w:szCs w:val="18"/>
                <w:color w:val="auto"/>
              </w:rPr>
            </w:pPr>
          </w:p>
        </w:tc>
        <w:tc>
          <w:tcPr>
            <w:tcW w:w="2700" w:type="dxa"/>
            <w:vAlign w:val="bottom"/>
          </w:tcPr>
          <w:p>
            <w:pPr>
              <w:ind w:left="100"/>
              <w:spacing w:after="0" w:line="216" w:lineRule="exact"/>
              <w:rPr>
                <w:sz w:val="20"/>
                <w:szCs w:val="20"/>
                <w:color w:val="auto"/>
              </w:rPr>
            </w:pPr>
            <w:r>
              <w:rPr>
                <w:rFonts w:ascii="Arial" w:cs="Arial" w:eastAsia="Arial" w:hAnsi="Arial"/>
                <w:sz w:val="20"/>
                <w:szCs w:val="20"/>
                <w:color w:val="auto"/>
              </w:rPr>
              <w:t>or voting instruction form.</w:t>
            </w:r>
          </w:p>
        </w:tc>
        <w:tc>
          <w:tcPr>
            <w:tcW w:w="180" w:type="dxa"/>
            <w:vAlign w:val="bottom"/>
            <w:shd w:val="clear" w:color="auto" w:fill="D7E8F5"/>
          </w:tcPr>
          <w:p>
            <w:pPr>
              <w:spacing w:after="0"/>
              <w:rPr>
                <w:sz w:val="18"/>
                <w:szCs w:val="18"/>
                <w:color w:val="auto"/>
              </w:rPr>
            </w:pPr>
          </w:p>
        </w:tc>
        <w:tc>
          <w:tcPr>
            <w:tcW w:w="2600" w:type="dxa"/>
            <w:vAlign w:val="bottom"/>
          </w:tcPr>
          <w:p>
            <w:pPr>
              <w:ind w:left="100"/>
              <w:spacing w:after="0" w:line="216" w:lineRule="exact"/>
              <w:rPr>
                <w:sz w:val="20"/>
                <w:szCs w:val="20"/>
                <w:color w:val="auto"/>
              </w:rPr>
            </w:pPr>
            <w:r>
              <w:rPr>
                <w:rFonts w:ascii="Arial" w:cs="Arial" w:eastAsia="Arial" w:hAnsi="Arial"/>
                <w:sz w:val="20"/>
                <w:szCs w:val="20"/>
                <w:color w:val="auto"/>
              </w:rPr>
              <w:t>and date the proxy card or</w:t>
            </w:r>
          </w:p>
        </w:tc>
        <w:tc>
          <w:tcPr>
            <w:tcW w:w="180" w:type="dxa"/>
            <w:vAlign w:val="bottom"/>
            <w:shd w:val="clear" w:color="auto" w:fill="D7E8F5"/>
          </w:tcPr>
          <w:p>
            <w:pPr>
              <w:spacing w:after="0"/>
              <w:rPr>
                <w:sz w:val="18"/>
                <w:szCs w:val="18"/>
                <w:color w:val="auto"/>
              </w:rPr>
            </w:pPr>
          </w:p>
        </w:tc>
        <w:tc>
          <w:tcPr>
            <w:tcW w:w="260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0"/>
                <w:szCs w:val="20"/>
                <w:color w:val="auto"/>
              </w:rPr>
              <w:t>and Voting – Voting” for</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tcBorders>
            <w:gridSpan w:val="3"/>
          </w:tcPr>
          <w:p>
            <w:pPr>
              <w:ind w:left="160"/>
              <w:spacing w:after="0" w:line="216" w:lineRule="exact"/>
              <w:rPr>
                <w:sz w:val="20"/>
                <w:szCs w:val="20"/>
                <w:color w:val="auto"/>
              </w:rPr>
            </w:pPr>
            <w:r>
              <w:rPr>
                <w:rFonts w:ascii="Arial" w:cs="Arial" w:eastAsia="Arial" w:hAnsi="Arial"/>
                <w:sz w:val="20"/>
                <w:szCs w:val="20"/>
                <w:color w:val="auto"/>
              </w:rPr>
              <w:t>your proxy card or voting</w:t>
            </w:r>
          </w:p>
        </w:tc>
        <w:tc>
          <w:tcPr>
            <w:tcW w:w="180" w:type="dxa"/>
            <w:vAlign w:val="bottom"/>
            <w:shd w:val="clear" w:color="auto" w:fill="D7E8F5"/>
          </w:tcPr>
          <w:p>
            <w:pPr>
              <w:spacing w:after="0"/>
              <w:rPr>
                <w:sz w:val="18"/>
                <w:szCs w:val="18"/>
                <w:color w:val="auto"/>
              </w:rPr>
            </w:pPr>
          </w:p>
        </w:tc>
        <w:tc>
          <w:tcPr>
            <w:tcW w:w="2700" w:type="dxa"/>
            <w:vAlign w:val="bottom"/>
          </w:tcPr>
          <w:p>
            <w:pPr>
              <w:ind w:left="100"/>
              <w:spacing w:after="0" w:line="216" w:lineRule="exact"/>
              <w:rPr>
                <w:sz w:val="20"/>
                <w:szCs w:val="20"/>
                <w:color w:val="auto"/>
              </w:rPr>
            </w:pPr>
            <w:r>
              <w:rPr>
                <w:rFonts w:ascii="Arial" w:cs="Arial" w:eastAsia="Arial" w:hAnsi="Arial"/>
                <w:sz w:val="20"/>
                <w:szCs w:val="20"/>
                <w:color w:val="auto"/>
              </w:rPr>
              <w:t>You will need the 16-digit</w:t>
            </w:r>
          </w:p>
        </w:tc>
        <w:tc>
          <w:tcPr>
            <w:tcW w:w="180" w:type="dxa"/>
            <w:vAlign w:val="bottom"/>
            <w:shd w:val="clear" w:color="auto" w:fill="D7E8F5"/>
          </w:tcPr>
          <w:p>
            <w:pPr>
              <w:spacing w:after="0"/>
              <w:rPr>
                <w:sz w:val="18"/>
                <w:szCs w:val="18"/>
                <w:color w:val="auto"/>
              </w:rPr>
            </w:pPr>
          </w:p>
        </w:tc>
        <w:tc>
          <w:tcPr>
            <w:tcW w:w="2600" w:type="dxa"/>
            <w:vAlign w:val="bottom"/>
          </w:tcPr>
          <w:p>
            <w:pPr>
              <w:ind w:left="100"/>
              <w:spacing w:after="0" w:line="216" w:lineRule="exact"/>
              <w:rPr>
                <w:sz w:val="20"/>
                <w:szCs w:val="20"/>
                <w:color w:val="auto"/>
              </w:rPr>
            </w:pPr>
            <w:r>
              <w:rPr>
                <w:rFonts w:ascii="Arial" w:cs="Arial" w:eastAsia="Arial" w:hAnsi="Arial"/>
                <w:sz w:val="20"/>
                <w:szCs w:val="20"/>
                <w:color w:val="auto"/>
              </w:rPr>
              <w:t>voting instruction form and</w:t>
            </w:r>
          </w:p>
        </w:tc>
        <w:tc>
          <w:tcPr>
            <w:tcW w:w="180" w:type="dxa"/>
            <w:vAlign w:val="bottom"/>
            <w:shd w:val="clear" w:color="auto" w:fill="D7E8F5"/>
          </w:tcPr>
          <w:p>
            <w:pPr>
              <w:spacing w:after="0"/>
              <w:rPr>
                <w:sz w:val="18"/>
                <w:szCs w:val="18"/>
                <w:color w:val="auto"/>
              </w:rPr>
            </w:pPr>
          </w:p>
        </w:tc>
        <w:tc>
          <w:tcPr>
            <w:tcW w:w="260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0"/>
                <w:szCs w:val="20"/>
                <w:color w:val="auto"/>
              </w:rPr>
              <w:t>details on how to vote</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tcBorders>
            <w:gridSpan w:val="3"/>
          </w:tcPr>
          <w:p>
            <w:pPr>
              <w:ind w:left="160"/>
              <w:spacing w:after="0" w:line="216" w:lineRule="exact"/>
              <w:rPr>
                <w:sz w:val="20"/>
                <w:szCs w:val="20"/>
                <w:color w:val="auto"/>
              </w:rPr>
            </w:pPr>
            <w:r>
              <w:rPr>
                <w:rFonts w:ascii="Arial" w:cs="Arial" w:eastAsia="Arial" w:hAnsi="Arial"/>
                <w:sz w:val="20"/>
                <w:szCs w:val="20"/>
                <w:color w:val="auto"/>
              </w:rPr>
              <w:t>instruction form.</w:t>
            </w:r>
          </w:p>
        </w:tc>
        <w:tc>
          <w:tcPr>
            <w:tcW w:w="180" w:type="dxa"/>
            <w:vAlign w:val="bottom"/>
            <w:shd w:val="clear" w:color="auto" w:fill="D7E8F5"/>
          </w:tcPr>
          <w:p>
            <w:pPr>
              <w:spacing w:after="0"/>
              <w:rPr>
                <w:sz w:val="18"/>
                <w:szCs w:val="18"/>
                <w:color w:val="auto"/>
              </w:rPr>
            </w:pPr>
          </w:p>
        </w:tc>
        <w:tc>
          <w:tcPr>
            <w:tcW w:w="2700" w:type="dxa"/>
            <w:vAlign w:val="bottom"/>
          </w:tcPr>
          <w:p>
            <w:pPr>
              <w:ind w:left="100"/>
              <w:spacing w:after="0" w:line="216" w:lineRule="exact"/>
              <w:rPr>
                <w:sz w:val="20"/>
                <w:szCs w:val="20"/>
                <w:color w:val="auto"/>
              </w:rPr>
            </w:pPr>
            <w:r>
              <w:rPr>
                <w:rFonts w:ascii="Arial" w:cs="Arial" w:eastAsia="Arial" w:hAnsi="Arial"/>
                <w:sz w:val="20"/>
                <w:szCs w:val="20"/>
                <w:color w:val="auto"/>
              </w:rPr>
              <w:t>control number provided on</w:t>
            </w:r>
          </w:p>
        </w:tc>
        <w:tc>
          <w:tcPr>
            <w:tcW w:w="180" w:type="dxa"/>
            <w:vAlign w:val="bottom"/>
            <w:shd w:val="clear" w:color="auto" w:fill="D7E8F5"/>
          </w:tcPr>
          <w:p>
            <w:pPr>
              <w:spacing w:after="0"/>
              <w:rPr>
                <w:sz w:val="18"/>
                <w:szCs w:val="18"/>
                <w:color w:val="auto"/>
              </w:rPr>
            </w:pPr>
          </w:p>
        </w:tc>
        <w:tc>
          <w:tcPr>
            <w:tcW w:w="2600" w:type="dxa"/>
            <w:vAlign w:val="bottom"/>
          </w:tcPr>
          <w:p>
            <w:pPr>
              <w:ind w:left="100"/>
              <w:spacing w:after="0" w:line="216" w:lineRule="exact"/>
              <w:rPr>
                <w:sz w:val="20"/>
                <w:szCs w:val="20"/>
                <w:color w:val="auto"/>
              </w:rPr>
            </w:pPr>
            <w:r>
              <w:rPr>
                <w:rFonts w:ascii="Arial" w:cs="Arial" w:eastAsia="Arial" w:hAnsi="Arial"/>
                <w:sz w:val="20"/>
                <w:szCs w:val="20"/>
                <w:color w:val="auto"/>
              </w:rPr>
              <w:t>mail it in the accompanying</w:t>
            </w:r>
          </w:p>
        </w:tc>
        <w:tc>
          <w:tcPr>
            <w:tcW w:w="180" w:type="dxa"/>
            <w:vAlign w:val="bottom"/>
            <w:shd w:val="clear" w:color="auto" w:fill="D7E8F5"/>
          </w:tcPr>
          <w:p>
            <w:pPr>
              <w:spacing w:after="0"/>
              <w:rPr>
                <w:sz w:val="18"/>
                <w:szCs w:val="18"/>
                <w:color w:val="auto"/>
              </w:rPr>
            </w:pPr>
          </w:p>
        </w:tc>
        <w:tc>
          <w:tcPr>
            <w:tcW w:w="260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0"/>
                <w:szCs w:val="20"/>
                <w:color w:val="auto"/>
              </w:rPr>
              <w:t>during the Annual Meeting.</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shd w:val="clear" w:color="auto" w:fill="D7E8F5"/>
          </w:tcPr>
          <w:p>
            <w:pPr>
              <w:spacing w:after="0"/>
              <w:rPr>
                <w:sz w:val="18"/>
                <w:szCs w:val="18"/>
                <w:color w:val="auto"/>
              </w:rPr>
            </w:pPr>
          </w:p>
        </w:tc>
        <w:tc>
          <w:tcPr>
            <w:tcW w:w="2700" w:type="dxa"/>
            <w:vAlign w:val="bottom"/>
          </w:tcPr>
          <w:p>
            <w:pPr>
              <w:ind w:left="100"/>
              <w:spacing w:after="0" w:line="216" w:lineRule="exact"/>
              <w:rPr>
                <w:sz w:val="20"/>
                <w:szCs w:val="20"/>
                <w:color w:val="auto"/>
              </w:rPr>
            </w:pPr>
            <w:r>
              <w:rPr>
                <w:rFonts w:ascii="Arial" w:cs="Arial" w:eastAsia="Arial" w:hAnsi="Arial"/>
                <w:sz w:val="20"/>
                <w:szCs w:val="20"/>
                <w:color w:val="auto"/>
              </w:rPr>
              <w:t>your proxy card or voting</w:t>
            </w:r>
          </w:p>
        </w:tc>
        <w:tc>
          <w:tcPr>
            <w:tcW w:w="180" w:type="dxa"/>
            <w:vAlign w:val="bottom"/>
            <w:shd w:val="clear" w:color="auto" w:fill="D7E8F5"/>
          </w:tcPr>
          <w:p>
            <w:pPr>
              <w:spacing w:after="0"/>
              <w:rPr>
                <w:sz w:val="18"/>
                <w:szCs w:val="18"/>
                <w:color w:val="auto"/>
              </w:rPr>
            </w:pPr>
          </w:p>
        </w:tc>
        <w:tc>
          <w:tcPr>
            <w:tcW w:w="2600" w:type="dxa"/>
            <w:vAlign w:val="bottom"/>
          </w:tcPr>
          <w:p>
            <w:pPr>
              <w:ind w:left="100"/>
              <w:spacing w:after="0" w:line="216" w:lineRule="exact"/>
              <w:rPr>
                <w:sz w:val="20"/>
                <w:szCs w:val="20"/>
                <w:color w:val="auto"/>
              </w:rPr>
            </w:pPr>
            <w:r>
              <w:rPr>
                <w:rFonts w:ascii="Arial" w:cs="Arial" w:eastAsia="Arial" w:hAnsi="Arial"/>
                <w:sz w:val="20"/>
                <w:szCs w:val="20"/>
                <w:color w:val="auto"/>
              </w:rPr>
              <w:t>pre-addressed envelope.</w:t>
            </w:r>
          </w:p>
        </w:tc>
        <w:tc>
          <w:tcPr>
            <w:tcW w:w="180" w:type="dxa"/>
            <w:vAlign w:val="bottom"/>
            <w:shd w:val="clear" w:color="auto" w:fill="D7E8F5"/>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00" w:type="dxa"/>
            <w:vAlign w:val="bottom"/>
            <w:tcBorders>
              <w:left w:val="single" w:sz="8" w:color="auto"/>
            </w:tcBorders>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shd w:val="clear" w:color="auto" w:fill="D7E8F5"/>
          </w:tcPr>
          <w:p>
            <w:pPr>
              <w:spacing w:after="0"/>
              <w:rPr>
                <w:sz w:val="22"/>
                <w:szCs w:val="22"/>
                <w:color w:val="auto"/>
              </w:rPr>
            </w:pPr>
          </w:p>
        </w:tc>
        <w:tc>
          <w:tcPr>
            <w:tcW w:w="2700" w:type="dxa"/>
            <w:vAlign w:val="bottom"/>
          </w:tcPr>
          <w:p>
            <w:pPr>
              <w:ind w:left="100"/>
              <w:spacing w:after="0"/>
              <w:rPr>
                <w:sz w:val="20"/>
                <w:szCs w:val="20"/>
                <w:color w:val="auto"/>
              </w:rPr>
            </w:pPr>
            <w:r>
              <w:rPr>
                <w:rFonts w:ascii="Arial" w:cs="Arial" w:eastAsia="Arial" w:hAnsi="Arial"/>
                <w:sz w:val="20"/>
                <w:szCs w:val="20"/>
                <w:color w:val="auto"/>
              </w:rPr>
              <w:t>instruction form.</w:t>
            </w:r>
          </w:p>
        </w:tc>
        <w:tc>
          <w:tcPr>
            <w:tcW w:w="180" w:type="dxa"/>
            <w:vAlign w:val="bottom"/>
            <w:shd w:val="clear" w:color="auto" w:fill="D7E8F5"/>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shd w:val="clear" w:color="auto" w:fill="D7E8F5"/>
          </w:tcPr>
          <w:p>
            <w:pPr>
              <w:spacing w:after="0"/>
              <w:rPr>
                <w:sz w:val="22"/>
                <w:szCs w:val="22"/>
                <w:color w:val="auto"/>
              </w:rPr>
            </w:pPr>
          </w:p>
        </w:tc>
        <w:tc>
          <w:tcPr>
            <w:tcW w:w="2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700" w:type="dxa"/>
            <w:vAlign w:val="bottom"/>
            <w:tcBorders>
              <w:left w:val="single" w:sz="8" w:color="auto"/>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D7E8F5"/>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D7E8F5"/>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D7E8F5"/>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280670</wp:posOffset>
            </wp:positionV>
            <wp:extent cx="6998970" cy="3407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340741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-1482725</wp:posOffset>
            </wp:positionV>
            <wp:extent cx="556895"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6895" cy="3771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-1482725</wp:posOffset>
            </wp:positionV>
            <wp:extent cx="196850" cy="377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3771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-1482725</wp:posOffset>
            </wp:positionV>
            <wp:extent cx="394335"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4335" cy="25717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-1482725</wp:posOffset>
            </wp:positionV>
            <wp:extent cx="48895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89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D3060"/>
        </w:rPr>
        <w:t>Important Notice Regarding the Internet Availability of Proxy Materials for</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D3060"/>
        </w:rPr>
        <w:t>the Annual Meeting of Stockholders to be Held on May 16, 2024</w:t>
      </w:r>
    </w:p>
    <w:p>
      <w:pPr>
        <w:spacing w:after="0" w:line="191" w:lineRule="exact"/>
        <w:rPr>
          <w:sz w:val="20"/>
          <w:szCs w:val="20"/>
          <w:color w:val="auto"/>
        </w:rPr>
      </w:pPr>
    </w:p>
    <w:p>
      <w:pPr>
        <w:ind w:left="240" w:right="140" w:firstLine="538"/>
        <w:spacing w:after="0" w:line="231" w:lineRule="auto"/>
        <w:rPr>
          <w:sz w:val="20"/>
          <w:szCs w:val="20"/>
          <w:color w:val="auto"/>
        </w:rPr>
      </w:pPr>
      <w:r>
        <w:rPr>
          <w:rFonts w:ascii="Arial" w:cs="Arial" w:eastAsia="Arial" w:hAnsi="Arial"/>
          <w:sz w:val="20"/>
          <w:szCs w:val="20"/>
          <w:color w:val="auto"/>
        </w:rPr>
        <w:t>We are furnishing proxy materials to our stockholders primarily via the Internet. On or about April 3, 2024, we will mail to our stockholders a Notice of Internet Availability containing instructions on how to access our proxy materials, including this Proxy Statement, our Annual Report on Form 10-K and our Annual Report to Stockholders. The Notice of Internet Availability also instructs you on how to submit your proxy or voting instructions through the Internet or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spacing w:after="0" w:line="173" w:lineRule="exact"/>
        <w:rPr>
          <w:sz w:val="20"/>
          <w:szCs w:val="20"/>
          <w:color w:val="auto"/>
        </w:rPr>
      </w:pPr>
    </w:p>
    <w:p>
      <w:pPr>
        <w:ind w:left="240" w:right="560" w:firstLine="538"/>
        <w:spacing w:after="0" w:line="257" w:lineRule="auto"/>
        <w:rPr>
          <w:sz w:val="20"/>
          <w:szCs w:val="20"/>
          <w:color w:val="auto"/>
        </w:rPr>
      </w:pPr>
      <w:r>
        <w:rPr>
          <w:rFonts w:ascii="Arial" w:cs="Arial" w:eastAsia="Arial" w:hAnsi="Arial"/>
          <w:sz w:val="20"/>
          <w:szCs w:val="20"/>
          <w:color w:val="auto"/>
        </w:rPr>
        <w:t xml:space="preserve">This Proxy Statement, our Annual Report on Form 10-K and our Annual Report to Stockholders are available for viewing, printing and downloading at </w:t>
      </w:r>
      <w:r>
        <w:rPr>
          <w:rFonts w:ascii="Arial" w:cs="Arial" w:eastAsia="Arial" w:hAnsi="Arial"/>
          <w:sz w:val="20"/>
          <w:szCs w:val="20"/>
          <w:i w:val="1"/>
          <w:iCs w:val="1"/>
          <w:u w:val="single" w:color="auto"/>
          <w:color w:val="2275B5"/>
        </w:rPr>
        <w:t>www.proxyvote.com</w:t>
      </w:r>
      <w:r>
        <w:rPr>
          <w:rFonts w:ascii="Arial" w:cs="Arial" w:eastAsia="Arial" w:hAnsi="Arial"/>
          <w:sz w:val="20"/>
          <w:szCs w:val="20"/>
          <w:color w:val="auto"/>
        </w:rPr>
        <w:t>.</w:t>
      </w:r>
    </w:p>
    <w:p>
      <w:pPr>
        <w:spacing w:after="0" w:line="155" w:lineRule="exact"/>
        <w:rPr>
          <w:sz w:val="20"/>
          <w:szCs w:val="20"/>
          <w:color w:val="auto"/>
        </w:rPr>
      </w:pPr>
    </w:p>
    <w:p>
      <w:pPr>
        <w:ind w:left="240" w:right="260" w:firstLine="538"/>
        <w:spacing w:after="0" w:line="237" w:lineRule="auto"/>
        <w:rPr>
          <w:sz w:val="20"/>
          <w:szCs w:val="20"/>
          <w:color w:val="auto"/>
        </w:rPr>
      </w:pPr>
      <w:r>
        <w:rPr>
          <w:rFonts w:ascii="Arial" w:cs="Arial" w:eastAsia="Arial" w:hAnsi="Arial"/>
          <w:sz w:val="20"/>
          <w:szCs w:val="20"/>
          <w:color w:val="auto"/>
        </w:rPr>
        <w:t>A copy of our Annual Report on Form 10-K for the fiscal year ended December 31, 2023, as filed with the Securities and Exchange Commission, or SEC, on February 15, 2024, will be furnished without charge to any stockholder upon written request to Alnylam Pharmaceuticals, Inc., 675 West Kendall Street, Henri A. Termeer Square, Cambridge, Massachusetts 02142, Attention: Investor Relations and Corporate Communications.</w:t>
      </w:r>
    </w:p>
    <w:p>
      <w:pPr>
        <w:spacing w:after="0" w:line="172" w:lineRule="exact"/>
        <w:rPr>
          <w:sz w:val="20"/>
          <w:szCs w:val="20"/>
          <w:color w:val="auto"/>
        </w:rPr>
      </w:pPr>
    </w:p>
    <w:p>
      <w:pPr>
        <w:ind w:left="240" w:right="440" w:firstLine="538"/>
        <w:spacing w:after="0" w:line="257" w:lineRule="auto"/>
        <w:rPr>
          <w:sz w:val="20"/>
          <w:szCs w:val="20"/>
          <w:color w:val="auto"/>
        </w:rPr>
      </w:pPr>
      <w:r>
        <w:rPr>
          <w:rFonts w:ascii="Arial" w:cs="Arial" w:eastAsia="Arial" w:hAnsi="Arial"/>
          <w:sz w:val="20"/>
          <w:szCs w:val="20"/>
          <w:color w:val="auto"/>
        </w:rPr>
        <w:t xml:space="preserve">This Proxy Statement and our Annual Report on Form 10-K for the fiscal year ended December 31, 2023 are also available on the SEC’s website at </w:t>
      </w:r>
      <w:r>
        <w:rPr>
          <w:rFonts w:ascii="Arial" w:cs="Arial" w:eastAsia="Arial" w:hAnsi="Arial"/>
          <w:sz w:val="20"/>
          <w:szCs w:val="20"/>
          <w:i w:val="1"/>
          <w:iCs w:val="1"/>
          <w:u w:val="single" w:color="auto"/>
          <w:color w:val="2275B5"/>
        </w:rPr>
        <w:t>www.sec.gov</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0460"/>
        <w:spacing w:after="0"/>
        <w:rPr>
          <w:sz w:val="20"/>
          <w:szCs w:val="20"/>
          <w:color w:val="auto"/>
        </w:rPr>
      </w:pPr>
      <w:r>
        <w:rPr>
          <w:rFonts w:ascii="Arial" w:cs="Arial" w:eastAsia="Arial" w:hAnsi="Arial"/>
          <w:sz w:val="17"/>
          <w:szCs w:val="17"/>
          <w:b w:val="1"/>
          <w:bCs w:val="1"/>
          <w:color w:val="6AA0D4"/>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1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103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CORPORATE GOVERNANCE</w:t>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General</w:t>
      </w:r>
    </w:p>
    <w:p>
      <w:pPr>
        <w:spacing w:after="0" w:line="204" w:lineRule="exact"/>
        <w:rPr>
          <w:sz w:val="20"/>
          <w:szCs w:val="20"/>
          <w:color w:val="auto"/>
        </w:rPr>
      </w:pPr>
    </w:p>
    <w:p>
      <w:pPr>
        <w:ind w:left="120" w:right="80" w:firstLine="771"/>
        <w:spacing w:after="0" w:line="257" w:lineRule="auto"/>
        <w:rPr>
          <w:sz w:val="20"/>
          <w:szCs w:val="20"/>
          <w:color w:val="auto"/>
        </w:rPr>
      </w:pPr>
      <w:r>
        <w:rPr>
          <w:rFonts w:ascii="Arial" w:cs="Arial" w:eastAsia="Arial" w:hAnsi="Arial"/>
          <w:sz w:val="20"/>
          <w:szCs w:val="20"/>
          <w:color w:val="auto"/>
        </w:rPr>
        <w:t>We believe that good corporate governance is important to ensure that Alnylam is managed for the long-term benefit of our stockholders. This section describes key corporate governance practices that we have adopted.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Corporate Governance Strengths</w:t>
      </w:r>
    </w:p>
    <w:p>
      <w:pPr>
        <w:spacing w:after="0" w:line="204" w:lineRule="exact"/>
        <w:rPr>
          <w:sz w:val="20"/>
          <w:szCs w:val="20"/>
          <w:color w:val="auto"/>
        </w:rPr>
      </w:pPr>
    </w:p>
    <w:p>
      <w:pPr>
        <w:ind w:left="120" w:right="80" w:firstLine="771"/>
        <w:spacing w:after="0" w:line="241" w:lineRule="auto"/>
        <w:rPr>
          <w:sz w:val="20"/>
          <w:szCs w:val="20"/>
          <w:color w:val="auto"/>
        </w:rPr>
      </w:pPr>
      <w:r>
        <w:rPr>
          <w:rFonts w:ascii="Arial" w:cs="Arial" w:eastAsia="Arial" w:hAnsi="Arial"/>
          <w:sz w:val="20"/>
          <w:szCs w:val="20"/>
          <w:color w:val="auto"/>
        </w:rPr>
        <w:t>We are committed to exercising good corporate governance practices. We believe that good governance promotes the long-term interests of our stockholders and strengthens the accountability of our board of directors and management. Our corporate governance practices are primarily designed to:</w:t>
      </w:r>
    </w:p>
    <w:p>
      <w:pPr>
        <w:spacing w:after="0" w:line="200" w:lineRule="exact"/>
        <w:rPr>
          <w:sz w:val="20"/>
          <w:szCs w:val="20"/>
          <w:color w:val="auto"/>
        </w:rPr>
      </w:pPr>
    </w:p>
    <w:tbl>
      <w:tblPr>
        <w:tblLayout w:type="fixed"/>
        <w:tblInd w:w="130" w:type="dxa"/>
        <w:tblCellMar>
          <w:top w:w="0" w:type="dxa"/>
          <w:left w:w="0" w:type="dxa"/>
          <w:bottom w:w="0" w:type="dxa"/>
          <w:right w:w="0" w:type="dxa"/>
        </w:tblCellMar>
      </w:tblPr>
      <w:tr>
        <w:trPr>
          <w:trHeight w:val="292"/>
        </w:trPr>
        <w:tc>
          <w:tcPr>
            <w:tcW w:w="2560" w:type="dxa"/>
            <w:vAlign w:val="bottom"/>
            <w:tcBorders>
              <w:top w:val="single" w:sz="8" w:color="D2E3F0"/>
              <w:left w:val="single" w:sz="8" w:color="D2E3F0"/>
              <w:right w:val="single" w:sz="8" w:color="D2E3F0"/>
            </w:tcBorders>
          </w:tcPr>
          <w:p>
            <w:pPr>
              <w:ind w:left="320"/>
              <w:spacing w:after="0"/>
              <w:rPr>
                <w:sz w:val="20"/>
                <w:szCs w:val="20"/>
                <w:color w:val="auto"/>
              </w:rPr>
            </w:pPr>
            <w:r>
              <w:rPr>
                <w:rFonts w:ascii="Arial" w:cs="Arial" w:eastAsia="Arial" w:hAnsi="Arial"/>
                <w:sz w:val="18"/>
                <w:szCs w:val="18"/>
                <w:b w:val="1"/>
                <w:bCs w:val="1"/>
                <w:color w:val="auto"/>
              </w:rPr>
              <w:t>Enhance Independent</w:t>
            </w:r>
          </w:p>
        </w:tc>
        <w:tc>
          <w:tcPr>
            <w:tcW w:w="2860" w:type="dxa"/>
            <w:vAlign w:val="bottom"/>
            <w:tcBorders>
              <w:top w:val="single" w:sz="8" w:color="D2E3F0"/>
              <w:right w:val="single" w:sz="8" w:color="D2E3F0"/>
            </w:tcBorders>
          </w:tcPr>
          <w:p>
            <w:pPr>
              <w:ind w:left="380"/>
              <w:spacing w:after="0"/>
              <w:rPr>
                <w:sz w:val="20"/>
                <w:szCs w:val="20"/>
                <w:color w:val="auto"/>
              </w:rPr>
            </w:pPr>
            <w:r>
              <w:rPr>
                <w:rFonts w:ascii="Arial" w:cs="Arial" w:eastAsia="Arial" w:hAnsi="Arial"/>
                <w:sz w:val="18"/>
                <w:szCs w:val="18"/>
                <w:b w:val="1"/>
                <w:bCs w:val="1"/>
                <w:color w:val="auto"/>
              </w:rPr>
              <w:t>Increase Accountability</w:t>
            </w:r>
          </w:p>
        </w:tc>
        <w:tc>
          <w:tcPr>
            <w:tcW w:w="2880" w:type="dxa"/>
            <w:vAlign w:val="bottom"/>
            <w:tcBorders>
              <w:top w:val="single" w:sz="8" w:color="D2E3F0"/>
              <w:right w:val="single" w:sz="8" w:color="D2E3F0"/>
            </w:tcBorders>
          </w:tcPr>
          <w:p>
            <w:pPr>
              <w:ind w:left="380"/>
              <w:spacing w:after="0"/>
              <w:rPr>
                <w:sz w:val="20"/>
                <w:szCs w:val="20"/>
                <w:color w:val="auto"/>
              </w:rPr>
            </w:pPr>
            <w:r>
              <w:rPr>
                <w:rFonts w:ascii="Arial" w:cs="Arial" w:eastAsia="Arial" w:hAnsi="Arial"/>
                <w:sz w:val="18"/>
                <w:szCs w:val="18"/>
                <w:b w:val="1"/>
                <w:bCs w:val="1"/>
                <w:color w:val="auto"/>
              </w:rPr>
              <w:t>Ensure a Fit-for-Purpose</w:t>
            </w:r>
          </w:p>
        </w:tc>
        <w:tc>
          <w:tcPr>
            <w:tcW w:w="2740" w:type="dxa"/>
            <w:vAlign w:val="bottom"/>
            <w:tcBorders>
              <w:top w:val="single" w:sz="8" w:color="D2E3F0"/>
              <w:right w:val="single" w:sz="8" w:color="D2E3F0"/>
            </w:tcBorders>
          </w:tcPr>
          <w:p>
            <w:pPr>
              <w:ind w:left="460"/>
              <w:spacing w:after="0"/>
              <w:rPr>
                <w:sz w:val="20"/>
                <w:szCs w:val="20"/>
                <w:color w:val="auto"/>
              </w:rPr>
            </w:pPr>
            <w:r>
              <w:rPr>
                <w:rFonts w:ascii="Arial" w:cs="Arial" w:eastAsia="Arial" w:hAnsi="Arial"/>
                <w:sz w:val="18"/>
                <w:szCs w:val="18"/>
                <w:b w:val="1"/>
                <w:bCs w:val="1"/>
                <w:color w:val="auto"/>
              </w:rPr>
              <w:t>  Align Interests with</w:t>
            </w:r>
          </w:p>
        </w:tc>
        <w:tc>
          <w:tcPr>
            <w:tcW w:w="0" w:type="dxa"/>
            <w:vAlign w:val="bottom"/>
          </w:tcPr>
          <w:p>
            <w:pPr>
              <w:spacing w:after="0"/>
              <w:rPr>
                <w:sz w:val="1"/>
                <w:szCs w:val="1"/>
                <w:color w:val="auto"/>
              </w:rPr>
            </w:pPr>
          </w:p>
        </w:tc>
      </w:tr>
      <w:tr>
        <w:trPr>
          <w:trHeight w:val="247"/>
        </w:trPr>
        <w:tc>
          <w:tcPr>
            <w:tcW w:w="2560" w:type="dxa"/>
            <w:vAlign w:val="bottom"/>
            <w:tcBorders>
              <w:left w:val="single" w:sz="8" w:color="D2E3F0"/>
              <w:right w:val="single" w:sz="8" w:color="D2E3F0"/>
            </w:tcBorders>
          </w:tcPr>
          <w:p>
            <w:pPr>
              <w:ind w:left="920"/>
              <w:spacing w:after="0"/>
              <w:rPr>
                <w:sz w:val="20"/>
                <w:szCs w:val="20"/>
                <w:color w:val="auto"/>
              </w:rPr>
            </w:pPr>
            <w:r>
              <w:rPr>
                <w:rFonts w:ascii="Arial" w:cs="Arial" w:eastAsia="Arial" w:hAnsi="Arial"/>
                <w:sz w:val="18"/>
                <w:szCs w:val="18"/>
                <w:b w:val="1"/>
                <w:bCs w:val="1"/>
                <w:color w:val="auto"/>
              </w:rPr>
              <w:t>Oversight</w:t>
            </w:r>
          </w:p>
        </w:tc>
        <w:tc>
          <w:tcPr>
            <w:tcW w:w="2860" w:type="dxa"/>
            <w:vAlign w:val="bottom"/>
            <w:tcBorders>
              <w:right w:val="single" w:sz="8" w:color="D2E3F0"/>
            </w:tcBorders>
          </w:tcPr>
          <w:p>
            <w:pPr>
              <w:ind w:left="800"/>
              <w:spacing w:after="0"/>
              <w:rPr>
                <w:sz w:val="20"/>
                <w:szCs w:val="20"/>
                <w:color w:val="auto"/>
              </w:rPr>
            </w:pPr>
            <w:r>
              <w:rPr>
                <w:rFonts w:ascii="Arial" w:cs="Arial" w:eastAsia="Arial" w:hAnsi="Arial"/>
                <w:sz w:val="18"/>
                <w:szCs w:val="18"/>
                <w:b w:val="1"/>
                <w:bCs w:val="1"/>
                <w:color w:val="auto"/>
              </w:rPr>
              <w:t>to Stockholders</w:t>
            </w:r>
          </w:p>
        </w:tc>
        <w:tc>
          <w:tcPr>
            <w:tcW w:w="2880" w:type="dxa"/>
            <w:vAlign w:val="bottom"/>
            <w:tcBorders>
              <w:right w:val="single" w:sz="8" w:color="D2E3F0"/>
            </w:tcBorders>
          </w:tcPr>
          <w:p>
            <w:pPr>
              <w:ind w:left="1260"/>
              <w:spacing w:after="0"/>
              <w:rPr>
                <w:sz w:val="20"/>
                <w:szCs w:val="20"/>
                <w:color w:val="auto"/>
              </w:rPr>
            </w:pPr>
            <w:r>
              <w:rPr>
                <w:rFonts w:ascii="Arial" w:cs="Arial" w:eastAsia="Arial" w:hAnsi="Arial"/>
                <w:sz w:val="18"/>
                <w:szCs w:val="18"/>
                <w:b w:val="1"/>
                <w:bCs w:val="1"/>
                <w:color w:val="auto"/>
              </w:rPr>
              <w:t>Board</w:t>
            </w:r>
          </w:p>
        </w:tc>
        <w:tc>
          <w:tcPr>
            <w:tcW w:w="2740" w:type="dxa"/>
            <w:vAlign w:val="bottom"/>
            <w:tcBorders>
              <w:right w:val="single" w:sz="8" w:color="D2E3F0"/>
            </w:tcBorders>
          </w:tcPr>
          <w:p>
            <w:pPr>
              <w:ind w:left="320"/>
              <w:spacing w:after="0"/>
              <w:rPr>
                <w:sz w:val="20"/>
                <w:szCs w:val="20"/>
                <w:color w:val="auto"/>
              </w:rPr>
            </w:pPr>
            <w:r>
              <w:rPr>
                <w:rFonts w:ascii="Arial" w:cs="Arial" w:eastAsia="Arial" w:hAnsi="Arial"/>
                <w:sz w:val="18"/>
                <w:szCs w:val="18"/>
                <w:b w:val="1"/>
                <w:bCs w:val="1"/>
                <w:color w:val="auto"/>
              </w:rPr>
              <w:t>Long-Term Stockholders</w:t>
            </w:r>
          </w:p>
        </w:tc>
        <w:tc>
          <w:tcPr>
            <w:tcW w:w="0" w:type="dxa"/>
            <w:vAlign w:val="bottom"/>
          </w:tcPr>
          <w:p>
            <w:pPr>
              <w:spacing w:after="0"/>
              <w:rPr>
                <w:sz w:val="1"/>
                <w:szCs w:val="1"/>
                <w:color w:val="auto"/>
              </w:rPr>
            </w:pPr>
          </w:p>
        </w:tc>
      </w:tr>
      <w:tr>
        <w:trPr>
          <w:trHeight w:val="110"/>
        </w:trPr>
        <w:tc>
          <w:tcPr>
            <w:tcW w:w="2560" w:type="dxa"/>
            <w:vAlign w:val="bottom"/>
            <w:tcBorders>
              <w:left w:val="single" w:sz="8" w:color="D2E3F0"/>
              <w:bottom w:val="single" w:sz="8" w:color="D2E3F0"/>
              <w:right w:val="single" w:sz="8" w:color="D2E3F0"/>
            </w:tcBorders>
          </w:tcPr>
          <w:p>
            <w:pPr>
              <w:spacing w:after="0"/>
              <w:rPr>
                <w:sz w:val="9"/>
                <w:szCs w:val="9"/>
                <w:color w:val="auto"/>
              </w:rPr>
            </w:pPr>
          </w:p>
        </w:tc>
        <w:tc>
          <w:tcPr>
            <w:tcW w:w="2860" w:type="dxa"/>
            <w:vAlign w:val="bottom"/>
            <w:tcBorders>
              <w:bottom w:val="single" w:sz="8" w:color="D2E3F0"/>
              <w:right w:val="single" w:sz="8" w:color="D2E3F0"/>
            </w:tcBorders>
          </w:tcPr>
          <w:p>
            <w:pPr>
              <w:spacing w:after="0"/>
              <w:rPr>
                <w:sz w:val="9"/>
                <w:szCs w:val="9"/>
                <w:color w:val="auto"/>
              </w:rPr>
            </w:pPr>
          </w:p>
        </w:tc>
        <w:tc>
          <w:tcPr>
            <w:tcW w:w="2880" w:type="dxa"/>
            <w:vAlign w:val="bottom"/>
            <w:tcBorders>
              <w:bottom w:val="single" w:sz="8" w:color="D2E3F0"/>
              <w:right w:val="single" w:sz="8" w:color="D2E3F0"/>
            </w:tcBorders>
          </w:tcPr>
          <w:p>
            <w:pPr>
              <w:spacing w:after="0"/>
              <w:rPr>
                <w:sz w:val="9"/>
                <w:szCs w:val="9"/>
                <w:color w:val="auto"/>
              </w:rPr>
            </w:pPr>
          </w:p>
        </w:tc>
        <w:tc>
          <w:tcPr>
            <w:tcW w:w="2740" w:type="dxa"/>
            <w:vAlign w:val="bottom"/>
            <w:tcBorders>
              <w:bottom w:val="single" w:sz="8" w:color="D2E3F0"/>
              <w:right w:val="single" w:sz="8" w:color="D2E3F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560" w:type="dxa"/>
            <w:vAlign w:val="bottom"/>
            <w:tcBorders>
              <w:left w:val="single" w:sz="8" w:color="D2E3F0"/>
              <w:right w:val="single" w:sz="8" w:color="D2E3F0"/>
            </w:tcBorders>
          </w:tcPr>
          <w:p>
            <w:pPr>
              <w:spacing w:after="0"/>
              <w:rPr>
                <w:sz w:val="24"/>
                <w:szCs w:val="24"/>
                <w:color w:val="auto"/>
              </w:rPr>
            </w:pPr>
          </w:p>
        </w:tc>
        <w:tc>
          <w:tcPr>
            <w:tcW w:w="2860" w:type="dxa"/>
            <w:vAlign w:val="bottom"/>
            <w:tcBorders>
              <w:right w:val="single" w:sz="8" w:color="D2E3F0"/>
            </w:tcBorders>
            <w:vMerge w:val="restart"/>
          </w:tcPr>
          <w:p>
            <w:pPr>
              <w:ind w:left="180"/>
              <w:spacing w:after="0"/>
              <w:rPr>
                <w:sz w:val="20"/>
                <w:szCs w:val="20"/>
                <w:color w:val="auto"/>
              </w:rPr>
            </w:pPr>
            <w:r>
              <w:rPr>
                <w:rFonts w:ascii="Arial" w:cs="Arial" w:eastAsia="Arial" w:hAnsi="Arial"/>
                <w:sz w:val="20"/>
                <w:szCs w:val="20"/>
                <w:color w:val="auto"/>
              </w:rPr>
              <w:t>Majority vote standard for</w:t>
            </w:r>
          </w:p>
        </w:tc>
        <w:tc>
          <w:tcPr>
            <w:tcW w:w="2880" w:type="dxa"/>
            <w:vAlign w:val="bottom"/>
            <w:tcBorders>
              <w:right w:val="single" w:sz="8" w:color="D2E3F0"/>
            </w:tcBorders>
          </w:tcPr>
          <w:p>
            <w:pPr>
              <w:ind w:left="180"/>
              <w:spacing w:after="0"/>
              <w:rPr>
                <w:sz w:val="20"/>
                <w:szCs w:val="20"/>
                <w:color w:val="auto"/>
              </w:rPr>
            </w:pPr>
            <w:r>
              <w:rPr>
                <w:rFonts w:ascii="Arial" w:cs="Arial" w:eastAsia="Arial" w:hAnsi="Arial"/>
                <w:sz w:val="20"/>
                <w:szCs w:val="20"/>
                <w:color w:val="auto"/>
              </w:rPr>
              <w:t>Commitment to ensuring</w:t>
            </w:r>
          </w:p>
        </w:tc>
        <w:tc>
          <w:tcPr>
            <w:tcW w:w="2740" w:type="dxa"/>
            <w:vAlign w:val="bottom"/>
            <w:tcBorders>
              <w:right w:val="single" w:sz="8" w:color="D2E3F0"/>
            </w:tcBorders>
          </w:tcPr>
          <w:p>
            <w:pPr>
              <w:ind w:left="160"/>
              <w:spacing w:after="0"/>
              <w:rPr>
                <w:sz w:val="20"/>
                <w:szCs w:val="20"/>
                <w:color w:val="auto"/>
              </w:rPr>
            </w:pPr>
            <w:r>
              <w:rPr>
                <w:rFonts w:ascii="Arial" w:cs="Arial" w:eastAsia="Arial" w:hAnsi="Arial"/>
                <w:sz w:val="20"/>
                <w:szCs w:val="20"/>
                <w:color w:val="auto"/>
              </w:rPr>
              <w:t>One vote per share</w:t>
            </w:r>
          </w:p>
        </w:tc>
        <w:tc>
          <w:tcPr>
            <w:tcW w:w="0" w:type="dxa"/>
            <w:vAlign w:val="bottom"/>
          </w:tcPr>
          <w:p>
            <w:pPr>
              <w:spacing w:after="0"/>
              <w:rPr>
                <w:sz w:val="1"/>
                <w:szCs w:val="1"/>
                <w:color w:val="auto"/>
              </w:rPr>
            </w:pPr>
          </w:p>
        </w:tc>
      </w:tr>
      <w:tr>
        <w:trPr>
          <w:trHeight w:val="86"/>
        </w:trPr>
        <w:tc>
          <w:tcPr>
            <w:tcW w:w="2560" w:type="dxa"/>
            <w:vAlign w:val="bottom"/>
            <w:tcBorders>
              <w:left w:val="single" w:sz="8" w:color="D2E3F0"/>
              <w:right w:val="single" w:sz="8" w:color="D2E3F0"/>
            </w:tcBorders>
          </w:tcPr>
          <w:p>
            <w:pPr>
              <w:spacing w:after="0"/>
              <w:rPr>
                <w:sz w:val="7"/>
                <w:szCs w:val="7"/>
                <w:color w:val="auto"/>
              </w:rPr>
            </w:pPr>
          </w:p>
        </w:tc>
        <w:tc>
          <w:tcPr>
            <w:tcW w:w="2860" w:type="dxa"/>
            <w:vAlign w:val="bottom"/>
            <w:tcBorders>
              <w:right w:val="single" w:sz="8" w:color="D2E3F0"/>
            </w:tcBorders>
            <w:vMerge w:val="continue"/>
          </w:tcPr>
          <w:p>
            <w:pPr>
              <w:spacing w:after="0"/>
              <w:rPr>
                <w:sz w:val="7"/>
                <w:szCs w:val="7"/>
                <w:color w:val="auto"/>
              </w:rPr>
            </w:pPr>
          </w:p>
        </w:tc>
        <w:tc>
          <w:tcPr>
            <w:tcW w:w="2880" w:type="dxa"/>
            <w:vAlign w:val="bottom"/>
            <w:tcBorders>
              <w:right w:val="single" w:sz="8" w:color="D2E3F0"/>
            </w:tcBorders>
            <w:vMerge w:val="restart"/>
          </w:tcPr>
          <w:p>
            <w:pPr>
              <w:ind w:left="180"/>
              <w:spacing w:after="0" w:line="194" w:lineRule="exact"/>
              <w:rPr>
                <w:sz w:val="20"/>
                <w:szCs w:val="20"/>
                <w:color w:val="auto"/>
              </w:rPr>
            </w:pPr>
            <w:r>
              <w:rPr>
                <w:rFonts w:ascii="Arial" w:cs="Arial" w:eastAsia="Arial" w:hAnsi="Arial"/>
                <w:sz w:val="20"/>
                <w:szCs w:val="20"/>
                <w:color w:val="auto"/>
              </w:rPr>
              <w:t>the board represents</w:t>
            </w:r>
          </w:p>
        </w:tc>
        <w:tc>
          <w:tcPr>
            <w:tcW w:w="2740" w:type="dxa"/>
            <w:vAlign w:val="bottom"/>
            <w:tcBorders>
              <w:right w:val="single" w:sz="8" w:color="D2E3F0"/>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60" w:type="dxa"/>
            <w:vAlign w:val="bottom"/>
            <w:tcBorders>
              <w:left w:val="single" w:sz="8" w:color="D2E3F0"/>
              <w:right w:val="single" w:sz="8" w:color="D2E3F0"/>
            </w:tcBorders>
            <w:vMerge w:val="restart"/>
          </w:tcPr>
          <w:p>
            <w:pPr>
              <w:ind w:left="240"/>
              <w:spacing w:after="0"/>
              <w:rPr>
                <w:sz w:val="20"/>
                <w:szCs w:val="20"/>
                <w:color w:val="auto"/>
              </w:rPr>
            </w:pPr>
            <w:r>
              <w:rPr>
                <w:rFonts w:ascii="Arial" w:cs="Arial" w:eastAsia="Arial" w:hAnsi="Arial"/>
                <w:sz w:val="20"/>
                <w:szCs w:val="20"/>
                <w:color w:val="auto"/>
              </w:rPr>
              <w:t>10 of 12 directors (83%)</w:t>
            </w:r>
          </w:p>
        </w:tc>
        <w:tc>
          <w:tcPr>
            <w:tcW w:w="2860" w:type="dxa"/>
            <w:vAlign w:val="bottom"/>
            <w:tcBorders>
              <w:right w:val="single" w:sz="8" w:color="D2E3F0"/>
            </w:tcBorders>
            <w:vMerge w:val="restart"/>
          </w:tcPr>
          <w:p>
            <w:pPr>
              <w:ind w:left="180"/>
              <w:spacing w:after="0"/>
              <w:rPr>
                <w:sz w:val="20"/>
                <w:szCs w:val="20"/>
                <w:color w:val="auto"/>
              </w:rPr>
            </w:pPr>
            <w:r>
              <w:rPr>
                <w:rFonts w:ascii="Arial" w:cs="Arial" w:eastAsia="Arial" w:hAnsi="Arial"/>
                <w:sz w:val="20"/>
                <w:szCs w:val="20"/>
                <w:color w:val="auto"/>
              </w:rPr>
              <w:t>uncontested director</w:t>
            </w:r>
          </w:p>
        </w:tc>
        <w:tc>
          <w:tcPr>
            <w:tcW w:w="2880" w:type="dxa"/>
            <w:vAlign w:val="bottom"/>
            <w:tcBorders>
              <w:right w:val="single" w:sz="8" w:color="D2E3F0"/>
            </w:tcBorders>
            <w:vMerge w:val="continue"/>
          </w:tcPr>
          <w:p>
            <w:pPr>
              <w:spacing w:after="0"/>
              <w:rPr>
                <w:sz w:val="9"/>
                <w:szCs w:val="9"/>
                <w:color w:val="auto"/>
              </w:rPr>
            </w:pPr>
          </w:p>
        </w:tc>
        <w:tc>
          <w:tcPr>
            <w:tcW w:w="2740" w:type="dxa"/>
            <w:vAlign w:val="bottom"/>
            <w:tcBorders>
              <w:right w:val="single" w:sz="8" w:color="D2E3F0"/>
            </w:tcBorders>
            <w:vMerge w:val="restart"/>
          </w:tcPr>
          <w:p>
            <w:pPr>
              <w:ind w:left="160"/>
              <w:spacing w:after="0"/>
              <w:rPr>
                <w:sz w:val="20"/>
                <w:szCs w:val="20"/>
                <w:color w:val="auto"/>
              </w:rPr>
            </w:pPr>
            <w:r>
              <w:rPr>
                <w:rFonts w:ascii="Arial" w:cs="Arial" w:eastAsia="Arial" w:hAnsi="Arial"/>
                <w:sz w:val="20"/>
                <w:szCs w:val="20"/>
                <w:color w:val="auto"/>
              </w:rPr>
              <w:t>Strong stock ownership</w:t>
            </w:r>
          </w:p>
        </w:tc>
        <w:tc>
          <w:tcPr>
            <w:tcW w:w="0" w:type="dxa"/>
            <w:vAlign w:val="bottom"/>
          </w:tcPr>
          <w:p>
            <w:pPr>
              <w:spacing w:after="0"/>
              <w:rPr>
                <w:sz w:val="1"/>
                <w:szCs w:val="1"/>
                <w:color w:val="auto"/>
              </w:rPr>
            </w:pPr>
          </w:p>
        </w:tc>
      </w:tr>
      <w:tr>
        <w:trPr>
          <w:trHeight w:val="197"/>
        </w:trPr>
        <w:tc>
          <w:tcPr>
            <w:tcW w:w="2560" w:type="dxa"/>
            <w:vAlign w:val="bottom"/>
            <w:tcBorders>
              <w:left w:val="single" w:sz="8" w:color="D2E3F0"/>
              <w:right w:val="single" w:sz="8" w:color="D2E3F0"/>
            </w:tcBorders>
            <w:vMerge w:val="continue"/>
          </w:tcPr>
          <w:p>
            <w:pPr>
              <w:spacing w:after="0"/>
              <w:rPr>
                <w:sz w:val="17"/>
                <w:szCs w:val="17"/>
                <w:color w:val="auto"/>
              </w:rPr>
            </w:pPr>
          </w:p>
        </w:tc>
        <w:tc>
          <w:tcPr>
            <w:tcW w:w="2860" w:type="dxa"/>
            <w:vAlign w:val="bottom"/>
            <w:tcBorders>
              <w:right w:val="single" w:sz="8" w:color="D2E3F0"/>
            </w:tcBorders>
            <w:vMerge w:val="continue"/>
          </w:tcPr>
          <w:p>
            <w:pPr>
              <w:spacing w:after="0"/>
              <w:rPr>
                <w:sz w:val="17"/>
                <w:szCs w:val="17"/>
                <w:color w:val="auto"/>
              </w:rPr>
            </w:pPr>
          </w:p>
        </w:tc>
        <w:tc>
          <w:tcPr>
            <w:tcW w:w="2880" w:type="dxa"/>
            <w:vAlign w:val="bottom"/>
            <w:tcBorders>
              <w:right w:val="single" w:sz="8" w:color="D2E3F0"/>
            </w:tcBorders>
          </w:tcPr>
          <w:p>
            <w:pPr>
              <w:ind w:left="180"/>
              <w:spacing w:after="0" w:line="197" w:lineRule="exact"/>
              <w:rPr>
                <w:sz w:val="20"/>
                <w:szCs w:val="20"/>
                <w:color w:val="auto"/>
              </w:rPr>
            </w:pPr>
            <w:r>
              <w:rPr>
                <w:rFonts w:ascii="Arial" w:cs="Arial" w:eastAsia="Arial" w:hAnsi="Arial"/>
                <w:sz w:val="20"/>
                <w:szCs w:val="20"/>
                <w:color w:val="auto"/>
              </w:rPr>
              <w:t>diversity of tenure, gender,</w:t>
            </w:r>
          </w:p>
        </w:tc>
        <w:tc>
          <w:tcPr>
            <w:tcW w:w="2740" w:type="dxa"/>
            <w:vAlign w:val="bottom"/>
            <w:tcBorders>
              <w:right w:val="single" w:sz="8" w:color="D2E3F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Borders>
              <w:left w:val="single" w:sz="8" w:color="D2E3F0"/>
              <w:right w:val="single" w:sz="8" w:color="D2E3F0"/>
            </w:tcBorders>
          </w:tcPr>
          <w:p>
            <w:pPr>
              <w:ind w:left="240"/>
              <w:spacing w:after="0" w:line="216" w:lineRule="exact"/>
              <w:rPr>
                <w:sz w:val="20"/>
                <w:szCs w:val="20"/>
                <w:color w:val="auto"/>
              </w:rPr>
            </w:pPr>
            <w:r>
              <w:rPr>
                <w:rFonts w:ascii="Arial" w:cs="Arial" w:eastAsia="Arial" w:hAnsi="Arial"/>
                <w:sz w:val="20"/>
                <w:szCs w:val="20"/>
                <w:color w:val="auto"/>
              </w:rPr>
              <w:t>are independent</w:t>
            </w:r>
          </w:p>
        </w:tc>
        <w:tc>
          <w:tcPr>
            <w:tcW w:w="2860" w:type="dxa"/>
            <w:vAlign w:val="bottom"/>
            <w:tcBorders>
              <w:right w:val="single" w:sz="8" w:color="D2E3F0"/>
            </w:tcBorders>
          </w:tcPr>
          <w:p>
            <w:pPr>
              <w:ind w:left="180"/>
              <w:spacing w:after="0" w:line="216" w:lineRule="exact"/>
              <w:rPr>
                <w:sz w:val="20"/>
                <w:szCs w:val="20"/>
                <w:color w:val="auto"/>
              </w:rPr>
            </w:pPr>
            <w:r>
              <w:rPr>
                <w:rFonts w:ascii="Arial" w:cs="Arial" w:eastAsia="Arial" w:hAnsi="Arial"/>
                <w:sz w:val="20"/>
                <w:szCs w:val="20"/>
                <w:color w:val="auto"/>
              </w:rPr>
              <w:t>elections, with a director</w:t>
            </w:r>
          </w:p>
        </w:tc>
        <w:tc>
          <w:tcPr>
            <w:tcW w:w="2880" w:type="dxa"/>
            <w:vAlign w:val="bottom"/>
            <w:tcBorders>
              <w:right w:val="single" w:sz="8" w:color="D2E3F0"/>
            </w:tcBorders>
          </w:tcPr>
          <w:p>
            <w:pPr>
              <w:ind w:left="180"/>
              <w:spacing w:after="0" w:line="216" w:lineRule="exact"/>
              <w:rPr>
                <w:sz w:val="20"/>
                <w:szCs w:val="20"/>
                <w:color w:val="auto"/>
              </w:rPr>
            </w:pPr>
            <w:r>
              <w:rPr>
                <w:rFonts w:ascii="Arial" w:cs="Arial" w:eastAsia="Arial" w:hAnsi="Arial"/>
                <w:sz w:val="20"/>
                <w:szCs w:val="20"/>
                <w:color w:val="auto"/>
              </w:rPr>
              <w:t>race/ethnicity, experience</w:t>
            </w:r>
          </w:p>
        </w:tc>
        <w:tc>
          <w:tcPr>
            <w:tcW w:w="2740" w:type="dxa"/>
            <w:vAlign w:val="bottom"/>
            <w:tcBorders>
              <w:right w:val="single" w:sz="8" w:color="D2E3F0"/>
            </w:tcBorders>
          </w:tcPr>
          <w:p>
            <w:pPr>
              <w:ind w:left="160"/>
              <w:spacing w:after="0" w:line="216" w:lineRule="exact"/>
              <w:rPr>
                <w:sz w:val="20"/>
                <w:szCs w:val="20"/>
                <w:color w:val="auto"/>
              </w:rPr>
            </w:pPr>
            <w:r>
              <w:rPr>
                <w:rFonts w:ascii="Arial" w:cs="Arial" w:eastAsia="Arial" w:hAnsi="Arial"/>
                <w:sz w:val="20"/>
                <w:szCs w:val="20"/>
                <w:color w:val="auto"/>
              </w:rPr>
              <w:t>guidelines for directors</w:t>
            </w:r>
          </w:p>
        </w:tc>
        <w:tc>
          <w:tcPr>
            <w:tcW w:w="0" w:type="dxa"/>
            <w:vAlign w:val="bottom"/>
          </w:tcPr>
          <w:p>
            <w:pPr>
              <w:spacing w:after="0"/>
              <w:rPr>
                <w:sz w:val="1"/>
                <w:szCs w:val="1"/>
                <w:color w:val="auto"/>
              </w:rPr>
            </w:pPr>
          </w:p>
        </w:tc>
      </w:tr>
      <w:tr>
        <w:trPr>
          <w:trHeight w:val="280"/>
        </w:trPr>
        <w:tc>
          <w:tcPr>
            <w:tcW w:w="2560" w:type="dxa"/>
            <w:vAlign w:val="bottom"/>
            <w:tcBorders>
              <w:left w:val="single" w:sz="8" w:color="D2E3F0"/>
              <w:right w:val="single" w:sz="8" w:color="D2E3F0"/>
            </w:tcBorders>
          </w:tcPr>
          <w:p>
            <w:pPr>
              <w:spacing w:after="0"/>
              <w:rPr>
                <w:sz w:val="24"/>
                <w:szCs w:val="24"/>
                <w:color w:val="auto"/>
              </w:rPr>
            </w:pPr>
          </w:p>
        </w:tc>
        <w:tc>
          <w:tcPr>
            <w:tcW w:w="2860" w:type="dxa"/>
            <w:vAlign w:val="bottom"/>
            <w:tcBorders>
              <w:right w:val="single" w:sz="8" w:color="D2E3F0"/>
            </w:tcBorders>
          </w:tcPr>
          <w:p>
            <w:pPr>
              <w:ind w:left="180"/>
              <w:spacing w:after="0"/>
              <w:rPr>
                <w:sz w:val="20"/>
                <w:szCs w:val="20"/>
                <w:color w:val="auto"/>
              </w:rPr>
            </w:pPr>
            <w:r>
              <w:rPr>
                <w:rFonts w:ascii="Arial" w:cs="Arial" w:eastAsia="Arial" w:hAnsi="Arial"/>
                <w:sz w:val="20"/>
                <w:szCs w:val="20"/>
                <w:color w:val="auto"/>
              </w:rPr>
              <w:t>resignation policy</w:t>
            </w:r>
          </w:p>
        </w:tc>
        <w:tc>
          <w:tcPr>
            <w:tcW w:w="2880" w:type="dxa"/>
            <w:vAlign w:val="bottom"/>
            <w:tcBorders>
              <w:right w:val="single" w:sz="8" w:color="D2E3F0"/>
            </w:tcBorders>
          </w:tcPr>
          <w:p>
            <w:pPr>
              <w:ind w:left="180"/>
              <w:spacing w:after="0"/>
              <w:rPr>
                <w:sz w:val="20"/>
                <w:szCs w:val="20"/>
                <w:color w:val="auto"/>
              </w:rPr>
            </w:pPr>
            <w:r>
              <w:rPr>
                <w:rFonts w:ascii="Arial" w:cs="Arial" w:eastAsia="Arial" w:hAnsi="Arial"/>
                <w:sz w:val="20"/>
                <w:szCs w:val="20"/>
                <w:color w:val="auto"/>
              </w:rPr>
              <w:t>and skills</w:t>
            </w:r>
          </w:p>
        </w:tc>
        <w:tc>
          <w:tcPr>
            <w:tcW w:w="2740" w:type="dxa"/>
            <w:vAlign w:val="bottom"/>
            <w:tcBorders>
              <w:right w:val="single" w:sz="8" w:color="D2E3F0"/>
            </w:tcBorders>
          </w:tcPr>
          <w:p>
            <w:pPr>
              <w:ind w:left="160"/>
              <w:spacing w:after="0"/>
              <w:rPr>
                <w:sz w:val="20"/>
                <w:szCs w:val="20"/>
                <w:color w:val="auto"/>
              </w:rPr>
            </w:pPr>
            <w:r>
              <w:rPr>
                <w:rFonts w:ascii="Arial" w:cs="Arial" w:eastAsia="Arial" w:hAnsi="Arial"/>
                <w:sz w:val="20"/>
                <w:szCs w:val="20"/>
                <w:color w:val="auto"/>
              </w:rPr>
              <w:t>and executives</w:t>
            </w:r>
          </w:p>
        </w:tc>
        <w:tc>
          <w:tcPr>
            <w:tcW w:w="0" w:type="dxa"/>
            <w:vAlign w:val="bottom"/>
          </w:tcPr>
          <w:p>
            <w:pPr>
              <w:spacing w:after="0"/>
              <w:rPr>
                <w:sz w:val="1"/>
                <w:szCs w:val="1"/>
                <w:color w:val="auto"/>
              </w:rPr>
            </w:pPr>
          </w:p>
        </w:tc>
      </w:tr>
      <w:tr>
        <w:trPr>
          <w:trHeight w:val="111"/>
        </w:trPr>
        <w:tc>
          <w:tcPr>
            <w:tcW w:w="2560" w:type="dxa"/>
            <w:vAlign w:val="bottom"/>
            <w:tcBorders>
              <w:left w:val="single" w:sz="8" w:color="D2E3F0"/>
              <w:bottom w:val="single" w:sz="8" w:color="D2E3F0"/>
              <w:right w:val="single" w:sz="8" w:color="D2E3F0"/>
            </w:tcBorders>
          </w:tcPr>
          <w:p>
            <w:pPr>
              <w:spacing w:after="0"/>
              <w:rPr>
                <w:sz w:val="9"/>
                <w:szCs w:val="9"/>
                <w:color w:val="auto"/>
              </w:rPr>
            </w:pPr>
          </w:p>
        </w:tc>
        <w:tc>
          <w:tcPr>
            <w:tcW w:w="2860" w:type="dxa"/>
            <w:vAlign w:val="bottom"/>
            <w:tcBorders>
              <w:bottom w:val="single" w:sz="8" w:color="D2E3F0"/>
              <w:right w:val="single" w:sz="8" w:color="D2E3F0"/>
            </w:tcBorders>
          </w:tcPr>
          <w:p>
            <w:pPr>
              <w:spacing w:after="0"/>
              <w:rPr>
                <w:sz w:val="9"/>
                <w:szCs w:val="9"/>
                <w:color w:val="auto"/>
              </w:rPr>
            </w:pPr>
          </w:p>
        </w:tc>
        <w:tc>
          <w:tcPr>
            <w:tcW w:w="2880" w:type="dxa"/>
            <w:vAlign w:val="bottom"/>
            <w:tcBorders>
              <w:bottom w:val="single" w:sz="8" w:color="D2E3F0"/>
              <w:right w:val="single" w:sz="8" w:color="D2E3F0"/>
            </w:tcBorders>
          </w:tcPr>
          <w:p>
            <w:pPr>
              <w:spacing w:after="0"/>
              <w:rPr>
                <w:sz w:val="9"/>
                <w:szCs w:val="9"/>
                <w:color w:val="auto"/>
              </w:rPr>
            </w:pPr>
          </w:p>
        </w:tc>
        <w:tc>
          <w:tcPr>
            <w:tcW w:w="2740" w:type="dxa"/>
            <w:vAlign w:val="bottom"/>
            <w:tcBorders>
              <w:bottom w:val="single" w:sz="8" w:color="D2E3F0"/>
              <w:right w:val="single" w:sz="8" w:color="D2E3F0"/>
            </w:tcBorders>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2560" w:type="dxa"/>
            <w:vAlign w:val="bottom"/>
            <w:tcBorders>
              <w:left w:val="single" w:sz="8" w:color="D2E3F0"/>
              <w:right w:val="single" w:sz="8" w:color="D2E3F0"/>
            </w:tcBorders>
            <w:vMerge w:val="restart"/>
          </w:tcPr>
          <w:p>
            <w:pPr>
              <w:ind w:left="240"/>
              <w:spacing w:after="0"/>
              <w:rPr>
                <w:sz w:val="20"/>
                <w:szCs w:val="20"/>
                <w:color w:val="auto"/>
              </w:rPr>
            </w:pPr>
            <w:r>
              <w:rPr>
                <w:rFonts w:ascii="Arial" w:cs="Arial" w:eastAsia="Arial" w:hAnsi="Arial"/>
                <w:sz w:val="20"/>
                <w:szCs w:val="20"/>
                <w:color w:val="auto"/>
              </w:rPr>
              <w:t>All board committees are</w:t>
            </w:r>
          </w:p>
        </w:tc>
        <w:tc>
          <w:tcPr>
            <w:tcW w:w="2860" w:type="dxa"/>
            <w:vAlign w:val="bottom"/>
            <w:tcBorders>
              <w:right w:val="single" w:sz="8" w:color="D2E3F0"/>
            </w:tcBorders>
            <w:vMerge w:val="restart"/>
          </w:tcPr>
          <w:p>
            <w:pPr>
              <w:ind w:left="180"/>
              <w:spacing w:after="0"/>
              <w:rPr>
                <w:sz w:val="20"/>
                <w:szCs w:val="20"/>
                <w:color w:val="auto"/>
              </w:rPr>
            </w:pPr>
            <w:r>
              <w:rPr>
                <w:rFonts w:ascii="Arial" w:cs="Arial" w:eastAsia="Arial" w:hAnsi="Arial"/>
                <w:sz w:val="20"/>
                <w:szCs w:val="20"/>
                <w:color w:val="auto"/>
              </w:rPr>
              <w:t>Regular board and</w:t>
            </w:r>
          </w:p>
        </w:tc>
        <w:tc>
          <w:tcPr>
            <w:tcW w:w="2880" w:type="dxa"/>
            <w:vAlign w:val="bottom"/>
            <w:tcBorders>
              <w:right w:val="single" w:sz="8" w:color="D2E3F0"/>
            </w:tcBorders>
          </w:tcPr>
          <w:p>
            <w:pPr>
              <w:ind w:left="180"/>
              <w:spacing w:after="0"/>
              <w:rPr>
                <w:sz w:val="20"/>
                <w:szCs w:val="20"/>
                <w:color w:val="auto"/>
              </w:rPr>
            </w:pPr>
            <w:r>
              <w:rPr>
                <w:rFonts w:ascii="Arial" w:cs="Arial" w:eastAsia="Arial" w:hAnsi="Arial"/>
                <w:sz w:val="20"/>
                <w:szCs w:val="20"/>
                <w:color w:val="auto"/>
              </w:rPr>
              <w:t>Regular evaluation of board</w:t>
            </w:r>
          </w:p>
        </w:tc>
        <w:tc>
          <w:tcPr>
            <w:tcW w:w="2740" w:type="dxa"/>
            <w:vAlign w:val="bottom"/>
            <w:tcBorders>
              <w:right w:val="single" w:sz="8" w:color="D2E3F0"/>
            </w:tcBorders>
            <w:vMerge w:val="restart"/>
          </w:tcPr>
          <w:p>
            <w:pPr>
              <w:ind w:left="160"/>
              <w:spacing w:after="0"/>
              <w:rPr>
                <w:sz w:val="20"/>
                <w:szCs w:val="20"/>
                <w:color w:val="auto"/>
              </w:rPr>
            </w:pPr>
            <w:r>
              <w:rPr>
                <w:rFonts w:ascii="Arial" w:cs="Arial" w:eastAsia="Arial" w:hAnsi="Arial"/>
                <w:sz w:val="20"/>
                <w:szCs w:val="20"/>
                <w:color w:val="auto"/>
              </w:rPr>
              <w:t>Clawback policy applies to</w:t>
            </w:r>
          </w:p>
        </w:tc>
        <w:tc>
          <w:tcPr>
            <w:tcW w:w="0" w:type="dxa"/>
            <w:vAlign w:val="bottom"/>
          </w:tcPr>
          <w:p>
            <w:pPr>
              <w:spacing w:after="0"/>
              <w:rPr>
                <w:sz w:val="1"/>
                <w:szCs w:val="1"/>
                <w:color w:val="auto"/>
              </w:rPr>
            </w:pPr>
          </w:p>
        </w:tc>
      </w:tr>
      <w:tr>
        <w:trPr>
          <w:trHeight w:val="68"/>
        </w:trPr>
        <w:tc>
          <w:tcPr>
            <w:tcW w:w="2560" w:type="dxa"/>
            <w:vAlign w:val="bottom"/>
            <w:tcBorders>
              <w:left w:val="single" w:sz="8" w:color="D2E3F0"/>
              <w:right w:val="single" w:sz="8" w:color="D2E3F0"/>
            </w:tcBorders>
            <w:vMerge w:val="continue"/>
          </w:tcPr>
          <w:p>
            <w:pPr>
              <w:spacing w:after="0"/>
              <w:rPr>
                <w:sz w:val="5"/>
                <w:szCs w:val="5"/>
                <w:color w:val="auto"/>
              </w:rPr>
            </w:pPr>
          </w:p>
        </w:tc>
        <w:tc>
          <w:tcPr>
            <w:tcW w:w="2860" w:type="dxa"/>
            <w:vAlign w:val="bottom"/>
            <w:tcBorders>
              <w:right w:val="single" w:sz="8" w:color="D2E3F0"/>
            </w:tcBorders>
            <w:vMerge w:val="continue"/>
          </w:tcPr>
          <w:p>
            <w:pPr>
              <w:spacing w:after="0"/>
              <w:rPr>
                <w:sz w:val="5"/>
                <w:szCs w:val="5"/>
                <w:color w:val="auto"/>
              </w:rPr>
            </w:pPr>
          </w:p>
        </w:tc>
        <w:tc>
          <w:tcPr>
            <w:tcW w:w="2880" w:type="dxa"/>
            <w:vAlign w:val="bottom"/>
            <w:tcBorders>
              <w:right w:val="single" w:sz="8" w:color="D2E3F0"/>
            </w:tcBorders>
            <w:vMerge w:val="restart"/>
          </w:tcPr>
          <w:p>
            <w:pPr>
              <w:ind w:left="180"/>
              <w:spacing w:after="0" w:line="197" w:lineRule="exact"/>
              <w:rPr>
                <w:sz w:val="20"/>
                <w:szCs w:val="20"/>
                <w:color w:val="auto"/>
              </w:rPr>
            </w:pPr>
            <w:r>
              <w:rPr>
                <w:rFonts w:ascii="Arial" w:cs="Arial" w:eastAsia="Arial" w:hAnsi="Arial"/>
                <w:sz w:val="20"/>
                <w:szCs w:val="20"/>
                <w:color w:val="auto"/>
              </w:rPr>
              <w:t>and committee composition</w:t>
            </w:r>
          </w:p>
        </w:tc>
        <w:tc>
          <w:tcPr>
            <w:tcW w:w="2740" w:type="dxa"/>
            <w:vAlign w:val="bottom"/>
            <w:tcBorders>
              <w:right w:val="single" w:sz="8" w:color="D2E3F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560" w:type="dxa"/>
            <w:vAlign w:val="bottom"/>
            <w:tcBorders>
              <w:left w:val="single" w:sz="8" w:color="D2E3F0"/>
              <w:right w:val="single" w:sz="8" w:color="D2E3F0"/>
            </w:tcBorders>
            <w:vMerge w:val="continue"/>
          </w:tcPr>
          <w:p>
            <w:pPr>
              <w:spacing w:after="0"/>
              <w:rPr>
                <w:sz w:val="11"/>
                <w:szCs w:val="11"/>
                <w:color w:val="auto"/>
              </w:rPr>
            </w:pPr>
          </w:p>
        </w:tc>
        <w:tc>
          <w:tcPr>
            <w:tcW w:w="2860" w:type="dxa"/>
            <w:vAlign w:val="bottom"/>
            <w:tcBorders>
              <w:right w:val="single" w:sz="8" w:color="D2E3F0"/>
            </w:tcBorders>
            <w:vMerge w:val="continue"/>
          </w:tcPr>
          <w:p>
            <w:pPr>
              <w:spacing w:after="0"/>
              <w:rPr>
                <w:sz w:val="11"/>
                <w:szCs w:val="11"/>
                <w:color w:val="auto"/>
              </w:rPr>
            </w:pPr>
          </w:p>
        </w:tc>
        <w:tc>
          <w:tcPr>
            <w:tcW w:w="2880" w:type="dxa"/>
            <w:vAlign w:val="bottom"/>
            <w:tcBorders>
              <w:right w:val="single" w:sz="8" w:color="D2E3F0"/>
            </w:tcBorders>
            <w:vMerge w:val="continue"/>
          </w:tcPr>
          <w:p>
            <w:pPr>
              <w:spacing w:after="0"/>
              <w:rPr>
                <w:sz w:val="11"/>
                <w:szCs w:val="11"/>
                <w:color w:val="auto"/>
              </w:rPr>
            </w:pPr>
          </w:p>
        </w:tc>
        <w:tc>
          <w:tcPr>
            <w:tcW w:w="2740" w:type="dxa"/>
            <w:vAlign w:val="bottom"/>
            <w:tcBorders>
              <w:right w:val="single" w:sz="8" w:color="D2E3F0"/>
            </w:tcBorders>
            <w:vMerge w:val="restart"/>
          </w:tcPr>
          <w:p>
            <w:pPr>
              <w:ind w:left="160"/>
              <w:spacing w:after="0" w:line="216" w:lineRule="exact"/>
              <w:rPr>
                <w:sz w:val="20"/>
                <w:szCs w:val="20"/>
                <w:color w:val="auto"/>
              </w:rPr>
            </w:pPr>
            <w:r>
              <w:rPr>
                <w:rFonts w:ascii="Arial" w:cs="Arial" w:eastAsia="Arial" w:hAnsi="Arial"/>
                <w:sz w:val="20"/>
                <w:szCs w:val="20"/>
                <w:color w:val="auto"/>
              </w:rPr>
              <w:t>both cash and equity</w:t>
            </w:r>
          </w:p>
        </w:tc>
        <w:tc>
          <w:tcPr>
            <w:tcW w:w="0" w:type="dxa"/>
            <w:vAlign w:val="bottom"/>
          </w:tcPr>
          <w:p>
            <w:pPr>
              <w:spacing w:after="0"/>
              <w:rPr>
                <w:sz w:val="1"/>
                <w:szCs w:val="1"/>
                <w:color w:val="auto"/>
              </w:rPr>
            </w:pPr>
          </w:p>
        </w:tc>
      </w:tr>
      <w:tr>
        <w:trPr>
          <w:trHeight w:val="86"/>
        </w:trPr>
        <w:tc>
          <w:tcPr>
            <w:tcW w:w="2560" w:type="dxa"/>
            <w:vAlign w:val="bottom"/>
            <w:tcBorders>
              <w:left w:val="single" w:sz="8" w:color="D2E3F0"/>
              <w:right w:val="single" w:sz="8" w:color="D2E3F0"/>
            </w:tcBorders>
            <w:vMerge w:val="restart"/>
          </w:tcPr>
          <w:p>
            <w:pPr>
              <w:ind w:left="240"/>
              <w:spacing w:after="0"/>
              <w:rPr>
                <w:sz w:val="20"/>
                <w:szCs w:val="20"/>
                <w:color w:val="auto"/>
              </w:rPr>
            </w:pPr>
            <w:r>
              <w:rPr>
                <w:rFonts w:ascii="Arial" w:cs="Arial" w:eastAsia="Arial" w:hAnsi="Arial"/>
                <w:sz w:val="20"/>
                <w:szCs w:val="20"/>
                <w:color w:val="auto"/>
              </w:rPr>
              <w:t>100% independent</w:t>
            </w:r>
          </w:p>
        </w:tc>
        <w:tc>
          <w:tcPr>
            <w:tcW w:w="2860" w:type="dxa"/>
            <w:vAlign w:val="bottom"/>
            <w:tcBorders>
              <w:right w:val="single" w:sz="8" w:color="D2E3F0"/>
            </w:tcBorders>
            <w:vMerge w:val="restart"/>
          </w:tcPr>
          <w:p>
            <w:pPr>
              <w:ind w:left="180"/>
              <w:spacing w:after="0"/>
              <w:rPr>
                <w:sz w:val="20"/>
                <w:szCs w:val="20"/>
                <w:color w:val="auto"/>
              </w:rPr>
            </w:pPr>
            <w:r>
              <w:rPr>
                <w:rFonts w:ascii="Arial" w:cs="Arial" w:eastAsia="Arial" w:hAnsi="Arial"/>
                <w:sz w:val="20"/>
                <w:szCs w:val="20"/>
                <w:color w:val="auto"/>
              </w:rPr>
              <w:t>committee self-evaluations</w:t>
            </w:r>
          </w:p>
        </w:tc>
        <w:tc>
          <w:tcPr>
            <w:tcW w:w="2880" w:type="dxa"/>
            <w:vAlign w:val="bottom"/>
            <w:tcBorders>
              <w:right w:val="single" w:sz="8" w:color="D2E3F0"/>
            </w:tcBorders>
            <w:vMerge w:val="restart"/>
          </w:tcPr>
          <w:p>
            <w:pPr>
              <w:ind w:left="180"/>
              <w:spacing w:after="0"/>
              <w:rPr>
                <w:sz w:val="20"/>
                <w:szCs w:val="20"/>
                <w:color w:val="auto"/>
              </w:rPr>
            </w:pPr>
            <w:r>
              <w:rPr>
                <w:rFonts w:ascii="Arial" w:cs="Arial" w:eastAsia="Arial" w:hAnsi="Arial"/>
                <w:sz w:val="20"/>
                <w:szCs w:val="20"/>
                <w:color w:val="auto"/>
              </w:rPr>
              <w:t>and organization</w:t>
            </w:r>
          </w:p>
        </w:tc>
        <w:tc>
          <w:tcPr>
            <w:tcW w:w="2740" w:type="dxa"/>
            <w:vAlign w:val="bottom"/>
            <w:tcBorders>
              <w:right w:val="single" w:sz="8" w:color="D2E3F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560" w:type="dxa"/>
            <w:vAlign w:val="bottom"/>
            <w:tcBorders>
              <w:left w:val="single" w:sz="8" w:color="D2E3F0"/>
              <w:right w:val="single" w:sz="8" w:color="D2E3F0"/>
            </w:tcBorders>
            <w:vMerge w:val="continue"/>
          </w:tcPr>
          <w:p>
            <w:pPr>
              <w:spacing w:after="0"/>
              <w:rPr>
                <w:sz w:val="16"/>
                <w:szCs w:val="16"/>
                <w:color w:val="auto"/>
              </w:rPr>
            </w:pPr>
          </w:p>
        </w:tc>
        <w:tc>
          <w:tcPr>
            <w:tcW w:w="2860" w:type="dxa"/>
            <w:vAlign w:val="bottom"/>
            <w:tcBorders>
              <w:right w:val="single" w:sz="8" w:color="D2E3F0"/>
            </w:tcBorders>
            <w:vMerge w:val="continue"/>
          </w:tcPr>
          <w:p>
            <w:pPr>
              <w:spacing w:after="0"/>
              <w:rPr>
                <w:sz w:val="16"/>
                <w:szCs w:val="16"/>
                <w:color w:val="auto"/>
              </w:rPr>
            </w:pPr>
          </w:p>
        </w:tc>
        <w:tc>
          <w:tcPr>
            <w:tcW w:w="2880" w:type="dxa"/>
            <w:vAlign w:val="bottom"/>
            <w:tcBorders>
              <w:right w:val="single" w:sz="8" w:color="D2E3F0"/>
            </w:tcBorders>
            <w:vMerge w:val="continue"/>
          </w:tcPr>
          <w:p>
            <w:pPr>
              <w:spacing w:after="0"/>
              <w:rPr>
                <w:sz w:val="16"/>
                <w:szCs w:val="16"/>
                <w:color w:val="auto"/>
              </w:rPr>
            </w:pPr>
          </w:p>
        </w:tc>
        <w:tc>
          <w:tcPr>
            <w:tcW w:w="2740" w:type="dxa"/>
            <w:vAlign w:val="bottom"/>
            <w:tcBorders>
              <w:right w:val="single" w:sz="8" w:color="D2E3F0"/>
            </w:tcBorders>
            <w:vMerge w:val="restart"/>
          </w:tcPr>
          <w:p>
            <w:pPr>
              <w:ind w:left="160"/>
              <w:spacing w:after="0"/>
              <w:rPr>
                <w:sz w:val="20"/>
                <w:szCs w:val="20"/>
                <w:color w:val="auto"/>
              </w:rPr>
            </w:pPr>
            <w:r>
              <w:rPr>
                <w:rFonts w:ascii="Arial" w:cs="Arial" w:eastAsia="Arial" w:hAnsi="Arial"/>
                <w:sz w:val="20"/>
                <w:szCs w:val="20"/>
                <w:color w:val="auto"/>
              </w:rPr>
              <w:t>incentives</w:t>
            </w:r>
          </w:p>
        </w:tc>
        <w:tc>
          <w:tcPr>
            <w:tcW w:w="0" w:type="dxa"/>
            <w:vAlign w:val="bottom"/>
          </w:tcPr>
          <w:p>
            <w:pPr>
              <w:spacing w:after="0"/>
              <w:rPr>
                <w:sz w:val="1"/>
                <w:szCs w:val="1"/>
                <w:color w:val="auto"/>
              </w:rPr>
            </w:pPr>
          </w:p>
        </w:tc>
      </w:tr>
      <w:tr>
        <w:trPr>
          <w:trHeight w:val="68"/>
        </w:trPr>
        <w:tc>
          <w:tcPr>
            <w:tcW w:w="2560" w:type="dxa"/>
            <w:vAlign w:val="bottom"/>
            <w:tcBorders>
              <w:left w:val="single" w:sz="8" w:color="D2E3F0"/>
              <w:right w:val="single" w:sz="8" w:color="D2E3F0"/>
            </w:tcBorders>
          </w:tcPr>
          <w:p>
            <w:pPr>
              <w:spacing w:after="0"/>
              <w:rPr>
                <w:sz w:val="5"/>
                <w:szCs w:val="5"/>
                <w:color w:val="auto"/>
              </w:rPr>
            </w:pPr>
          </w:p>
        </w:tc>
        <w:tc>
          <w:tcPr>
            <w:tcW w:w="2860" w:type="dxa"/>
            <w:vAlign w:val="bottom"/>
            <w:tcBorders>
              <w:right w:val="single" w:sz="8" w:color="D2E3F0"/>
            </w:tcBorders>
          </w:tcPr>
          <w:p>
            <w:pPr>
              <w:spacing w:after="0"/>
              <w:rPr>
                <w:sz w:val="5"/>
                <w:szCs w:val="5"/>
                <w:color w:val="auto"/>
              </w:rPr>
            </w:pPr>
          </w:p>
        </w:tc>
        <w:tc>
          <w:tcPr>
            <w:tcW w:w="2880" w:type="dxa"/>
            <w:vAlign w:val="bottom"/>
            <w:tcBorders>
              <w:right w:val="single" w:sz="8" w:color="D2E3F0"/>
            </w:tcBorders>
          </w:tcPr>
          <w:p>
            <w:pPr>
              <w:spacing w:after="0"/>
              <w:rPr>
                <w:sz w:val="5"/>
                <w:szCs w:val="5"/>
                <w:color w:val="auto"/>
              </w:rPr>
            </w:pPr>
          </w:p>
        </w:tc>
        <w:tc>
          <w:tcPr>
            <w:tcW w:w="2740" w:type="dxa"/>
            <w:vAlign w:val="bottom"/>
            <w:tcBorders>
              <w:right w:val="single" w:sz="8" w:color="D2E3F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560" w:type="dxa"/>
            <w:vAlign w:val="bottom"/>
            <w:tcBorders>
              <w:left w:val="single" w:sz="8" w:color="D2E3F0"/>
              <w:bottom w:val="single" w:sz="8" w:color="D2E3F0"/>
              <w:right w:val="single" w:sz="8" w:color="D2E3F0"/>
            </w:tcBorders>
          </w:tcPr>
          <w:p>
            <w:pPr>
              <w:spacing w:after="0"/>
              <w:rPr>
                <w:sz w:val="3"/>
                <w:szCs w:val="3"/>
                <w:color w:val="auto"/>
              </w:rPr>
            </w:pPr>
          </w:p>
        </w:tc>
        <w:tc>
          <w:tcPr>
            <w:tcW w:w="2860" w:type="dxa"/>
            <w:vAlign w:val="bottom"/>
            <w:tcBorders>
              <w:bottom w:val="single" w:sz="8" w:color="D2E3F0"/>
              <w:right w:val="single" w:sz="8" w:color="D2E3F0"/>
            </w:tcBorders>
          </w:tcPr>
          <w:p>
            <w:pPr>
              <w:spacing w:after="0"/>
              <w:rPr>
                <w:sz w:val="3"/>
                <w:szCs w:val="3"/>
                <w:color w:val="auto"/>
              </w:rPr>
            </w:pPr>
          </w:p>
        </w:tc>
        <w:tc>
          <w:tcPr>
            <w:tcW w:w="2880" w:type="dxa"/>
            <w:vAlign w:val="bottom"/>
            <w:tcBorders>
              <w:bottom w:val="single" w:sz="8" w:color="D2E3F0"/>
              <w:right w:val="single" w:sz="8" w:color="D2E3F0"/>
            </w:tcBorders>
          </w:tcPr>
          <w:p>
            <w:pPr>
              <w:spacing w:after="0"/>
              <w:rPr>
                <w:sz w:val="3"/>
                <w:szCs w:val="3"/>
                <w:color w:val="auto"/>
              </w:rPr>
            </w:pPr>
          </w:p>
        </w:tc>
        <w:tc>
          <w:tcPr>
            <w:tcW w:w="2740" w:type="dxa"/>
            <w:vAlign w:val="bottom"/>
            <w:tcBorders>
              <w:bottom w:val="single" w:sz="8" w:color="D2E3F0"/>
              <w:right w:val="single" w:sz="8" w:color="D2E3F0"/>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560" w:type="dxa"/>
            <w:vAlign w:val="bottom"/>
            <w:tcBorders>
              <w:left w:val="single" w:sz="8" w:color="D2E3F0"/>
              <w:right w:val="single" w:sz="8" w:color="D2E3F0"/>
            </w:tcBorders>
          </w:tcPr>
          <w:p>
            <w:pPr>
              <w:ind w:left="240"/>
              <w:spacing w:after="0"/>
              <w:rPr>
                <w:sz w:val="20"/>
                <w:szCs w:val="20"/>
                <w:color w:val="auto"/>
              </w:rPr>
            </w:pPr>
            <w:r>
              <w:rPr>
                <w:rFonts w:ascii="Arial" w:cs="Arial" w:eastAsia="Arial" w:hAnsi="Arial"/>
                <w:sz w:val="20"/>
                <w:szCs w:val="20"/>
                <w:color w:val="auto"/>
              </w:rPr>
              <w:t>Independent board chair</w:t>
            </w:r>
          </w:p>
        </w:tc>
        <w:tc>
          <w:tcPr>
            <w:tcW w:w="2860" w:type="dxa"/>
            <w:vAlign w:val="bottom"/>
            <w:tcBorders>
              <w:right w:val="single" w:sz="8" w:color="D2E3F0"/>
            </w:tcBorders>
          </w:tcPr>
          <w:p>
            <w:pPr>
              <w:spacing w:after="0"/>
              <w:rPr>
                <w:sz w:val="24"/>
                <w:szCs w:val="24"/>
                <w:color w:val="auto"/>
              </w:rPr>
            </w:pPr>
          </w:p>
        </w:tc>
        <w:tc>
          <w:tcPr>
            <w:tcW w:w="2880" w:type="dxa"/>
            <w:vAlign w:val="bottom"/>
            <w:tcBorders>
              <w:right w:val="single" w:sz="8" w:color="D2E3F0"/>
            </w:tcBorders>
            <w:vMerge w:val="restart"/>
          </w:tcPr>
          <w:p>
            <w:pPr>
              <w:ind w:left="180"/>
              <w:spacing w:after="0"/>
              <w:rPr>
                <w:sz w:val="20"/>
                <w:szCs w:val="20"/>
                <w:color w:val="auto"/>
              </w:rPr>
            </w:pPr>
            <w:r>
              <w:rPr>
                <w:rFonts w:ascii="Arial" w:cs="Arial" w:eastAsia="Arial" w:hAnsi="Arial"/>
                <w:sz w:val="20"/>
                <w:szCs w:val="20"/>
                <w:color w:val="auto"/>
              </w:rPr>
              <w:t>Regular assessment of</w:t>
            </w:r>
          </w:p>
        </w:tc>
        <w:tc>
          <w:tcPr>
            <w:tcW w:w="2740" w:type="dxa"/>
            <w:vAlign w:val="bottom"/>
            <w:tcBorders>
              <w:right w:val="single" w:sz="8" w:color="D2E3F0"/>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560" w:type="dxa"/>
            <w:vAlign w:val="bottom"/>
            <w:tcBorders>
              <w:left w:val="single" w:sz="8" w:color="D2E3F0"/>
              <w:right w:val="single" w:sz="8" w:color="D2E3F0"/>
            </w:tcBorders>
          </w:tcPr>
          <w:p>
            <w:pPr>
              <w:ind w:left="240"/>
              <w:spacing w:after="0" w:line="197" w:lineRule="exact"/>
              <w:rPr>
                <w:sz w:val="20"/>
                <w:szCs w:val="20"/>
                <w:color w:val="auto"/>
              </w:rPr>
            </w:pPr>
            <w:r>
              <w:rPr>
                <w:rFonts w:ascii="Arial" w:cs="Arial" w:eastAsia="Arial" w:hAnsi="Arial"/>
                <w:sz w:val="20"/>
                <w:szCs w:val="20"/>
                <w:color w:val="auto"/>
              </w:rPr>
              <w:t>transition completed</w:t>
            </w:r>
          </w:p>
        </w:tc>
        <w:tc>
          <w:tcPr>
            <w:tcW w:w="2860" w:type="dxa"/>
            <w:vAlign w:val="bottom"/>
            <w:tcBorders>
              <w:right w:val="single" w:sz="8" w:color="D2E3F0"/>
            </w:tcBorders>
          </w:tcPr>
          <w:p>
            <w:pPr>
              <w:spacing w:after="0"/>
              <w:rPr>
                <w:sz w:val="17"/>
                <w:szCs w:val="17"/>
                <w:color w:val="auto"/>
              </w:rPr>
            </w:pPr>
          </w:p>
        </w:tc>
        <w:tc>
          <w:tcPr>
            <w:tcW w:w="2880" w:type="dxa"/>
            <w:vAlign w:val="bottom"/>
            <w:tcBorders>
              <w:right w:val="single" w:sz="8" w:color="D2E3F0"/>
            </w:tcBorders>
            <w:vMerge w:val="continue"/>
          </w:tcPr>
          <w:p>
            <w:pPr>
              <w:spacing w:after="0"/>
              <w:rPr>
                <w:sz w:val="17"/>
                <w:szCs w:val="17"/>
                <w:color w:val="auto"/>
              </w:rPr>
            </w:pPr>
          </w:p>
        </w:tc>
        <w:tc>
          <w:tcPr>
            <w:tcW w:w="2740" w:type="dxa"/>
            <w:vAlign w:val="bottom"/>
            <w:tcBorders>
              <w:right w:val="single" w:sz="8" w:color="D2E3F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60" w:type="dxa"/>
            <w:vAlign w:val="bottom"/>
            <w:tcBorders>
              <w:left w:val="single" w:sz="8" w:color="D2E3F0"/>
              <w:right w:val="single" w:sz="8" w:color="D2E3F0"/>
            </w:tcBorders>
          </w:tcPr>
          <w:p>
            <w:pPr>
              <w:ind w:left="240"/>
              <w:spacing w:after="0"/>
              <w:rPr>
                <w:sz w:val="20"/>
                <w:szCs w:val="20"/>
                <w:color w:val="auto"/>
              </w:rPr>
            </w:pPr>
            <w:r>
              <w:rPr>
                <w:rFonts w:ascii="Arial" w:cs="Arial" w:eastAsia="Arial" w:hAnsi="Arial"/>
                <w:sz w:val="20"/>
                <w:szCs w:val="20"/>
                <w:color w:val="auto"/>
              </w:rPr>
              <w:t>January 2023</w:t>
            </w:r>
          </w:p>
        </w:tc>
        <w:tc>
          <w:tcPr>
            <w:tcW w:w="2860" w:type="dxa"/>
            <w:vAlign w:val="bottom"/>
            <w:tcBorders>
              <w:right w:val="single" w:sz="8" w:color="D2E3F0"/>
            </w:tcBorders>
            <w:vMerge w:val="restart"/>
          </w:tcPr>
          <w:p>
            <w:pPr>
              <w:ind w:left="180"/>
              <w:spacing w:after="0"/>
              <w:rPr>
                <w:sz w:val="20"/>
                <w:szCs w:val="20"/>
                <w:color w:val="auto"/>
              </w:rPr>
            </w:pPr>
            <w:r>
              <w:rPr>
                <w:rFonts w:ascii="Arial" w:cs="Arial" w:eastAsia="Arial" w:hAnsi="Arial"/>
                <w:sz w:val="20"/>
                <w:szCs w:val="20"/>
                <w:color w:val="auto"/>
              </w:rPr>
              <w:t>Annual advisory approval of</w:t>
            </w:r>
          </w:p>
        </w:tc>
        <w:tc>
          <w:tcPr>
            <w:tcW w:w="2880" w:type="dxa"/>
            <w:vAlign w:val="bottom"/>
            <w:tcBorders>
              <w:right w:val="single" w:sz="8" w:color="D2E3F0"/>
            </w:tcBorders>
          </w:tcPr>
          <w:p>
            <w:pPr>
              <w:ind w:left="180"/>
              <w:spacing w:after="0"/>
              <w:rPr>
                <w:sz w:val="20"/>
                <w:szCs w:val="20"/>
                <w:color w:val="auto"/>
              </w:rPr>
            </w:pPr>
            <w:r>
              <w:rPr>
                <w:rFonts w:ascii="Arial" w:cs="Arial" w:eastAsia="Arial" w:hAnsi="Arial"/>
                <w:sz w:val="20"/>
                <w:szCs w:val="20"/>
                <w:color w:val="auto"/>
              </w:rPr>
              <w:t>external commitments,</w:t>
            </w:r>
          </w:p>
        </w:tc>
        <w:tc>
          <w:tcPr>
            <w:tcW w:w="2740" w:type="dxa"/>
            <w:vAlign w:val="bottom"/>
            <w:tcBorders>
              <w:right w:val="single" w:sz="8" w:color="D2E3F0"/>
            </w:tcBorders>
          </w:tcPr>
          <w:p>
            <w:pPr>
              <w:ind w:left="160"/>
              <w:spacing w:after="0"/>
              <w:rPr>
                <w:sz w:val="20"/>
                <w:szCs w:val="20"/>
                <w:color w:val="auto"/>
              </w:rPr>
            </w:pPr>
            <w:r>
              <w:rPr>
                <w:rFonts w:ascii="Arial" w:cs="Arial" w:eastAsia="Arial" w:hAnsi="Arial"/>
                <w:sz w:val="20"/>
                <w:szCs w:val="20"/>
                <w:color w:val="auto"/>
              </w:rPr>
              <w:t>No margin accounts,</w:t>
            </w:r>
          </w:p>
        </w:tc>
        <w:tc>
          <w:tcPr>
            <w:tcW w:w="0" w:type="dxa"/>
            <w:vAlign w:val="bottom"/>
          </w:tcPr>
          <w:p>
            <w:pPr>
              <w:spacing w:after="0"/>
              <w:rPr>
                <w:sz w:val="1"/>
                <w:szCs w:val="1"/>
                <w:color w:val="auto"/>
              </w:rPr>
            </w:pPr>
          </w:p>
        </w:tc>
      </w:tr>
      <w:tr>
        <w:trPr>
          <w:trHeight w:val="149"/>
        </w:trPr>
        <w:tc>
          <w:tcPr>
            <w:tcW w:w="2560" w:type="dxa"/>
            <w:vAlign w:val="bottom"/>
            <w:tcBorders>
              <w:left w:val="single" w:sz="8" w:color="D2E3F0"/>
              <w:right w:val="single" w:sz="8" w:color="D2E3F0"/>
            </w:tcBorders>
          </w:tcPr>
          <w:p>
            <w:pPr>
              <w:spacing w:after="0"/>
              <w:rPr>
                <w:sz w:val="12"/>
                <w:szCs w:val="12"/>
                <w:color w:val="auto"/>
              </w:rPr>
            </w:pPr>
          </w:p>
        </w:tc>
        <w:tc>
          <w:tcPr>
            <w:tcW w:w="2860" w:type="dxa"/>
            <w:vAlign w:val="bottom"/>
            <w:tcBorders>
              <w:right w:val="single" w:sz="8" w:color="D2E3F0"/>
            </w:tcBorders>
            <w:vMerge w:val="continue"/>
          </w:tcPr>
          <w:p>
            <w:pPr>
              <w:spacing w:after="0"/>
              <w:rPr>
                <w:sz w:val="12"/>
                <w:szCs w:val="12"/>
                <w:color w:val="auto"/>
              </w:rPr>
            </w:pPr>
          </w:p>
        </w:tc>
        <w:tc>
          <w:tcPr>
            <w:tcW w:w="2880" w:type="dxa"/>
            <w:vAlign w:val="bottom"/>
            <w:tcBorders>
              <w:right w:val="single" w:sz="8" w:color="D2E3F0"/>
            </w:tcBorders>
          </w:tcPr>
          <w:p>
            <w:pPr>
              <w:ind w:left="180"/>
              <w:spacing w:after="0" w:line="148" w:lineRule="exact"/>
              <w:rPr>
                <w:sz w:val="20"/>
                <w:szCs w:val="20"/>
                <w:color w:val="auto"/>
              </w:rPr>
            </w:pPr>
            <w:r>
              <w:rPr>
                <w:rFonts w:ascii="Arial" w:cs="Arial" w:eastAsia="Arial" w:hAnsi="Arial"/>
                <w:sz w:val="16"/>
                <w:szCs w:val="16"/>
                <w:color w:val="auto"/>
              </w:rPr>
              <w:t>potential conflicts of interest</w:t>
            </w:r>
          </w:p>
        </w:tc>
        <w:tc>
          <w:tcPr>
            <w:tcW w:w="2740" w:type="dxa"/>
            <w:vAlign w:val="bottom"/>
            <w:tcBorders>
              <w:right w:val="single" w:sz="8" w:color="D2E3F0"/>
            </w:tcBorders>
            <w:vMerge w:val="restart"/>
          </w:tcPr>
          <w:p>
            <w:pPr>
              <w:ind w:left="160"/>
              <w:spacing w:after="0"/>
              <w:rPr>
                <w:sz w:val="20"/>
                <w:szCs w:val="20"/>
                <w:color w:val="auto"/>
              </w:rPr>
            </w:pPr>
            <w:r>
              <w:rPr>
                <w:rFonts w:ascii="Arial" w:cs="Arial" w:eastAsia="Arial" w:hAnsi="Arial"/>
                <w:sz w:val="20"/>
                <w:szCs w:val="20"/>
                <w:color w:val="auto"/>
              </w:rPr>
              <w:t>pledging or hedging of</w:t>
            </w:r>
          </w:p>
        </w:tc>
        <w:tc>
          <w:tcPr>
            <w:tcW w:w="0" w:type="dxa"/>
            <w:vAlign w:val="bottom"/>
          </w:tcPr>
          <w:p>
            <w:pPr>
              <w:spacing w:after="0"/>
              <w:rPr>
                <w:sz w:val="1"/>
                <w:szCs w:val="1"/>
                <w:color w:val="auto"/>
              </w:rPr>
            </w:pPr>
          </w:p>
        </w:tc>
      </w:tr>
      <w:tr>
        <w:trPr>
          <w:trHeight w:val="86"/>
        </w:trPr>
        <w:tc>
          <w:tcPr>
            <w:tcW w:w="2560" w:type="dxa"/>
            <w:vAlign w:val="bottom"/>
            <w:tcBorders>
              <w:left w:val="single" w:sz="8" w:color="D2E3F0"/>
              <w:right w:val="single" w:sz="8" w:color="D2E3F0"/>
            </w:tcBorders>
            <w:vMerge w:val="restart"/>
          </w:tcPr>
          <w:p>
            <w:pPr>
              <w:ind w:left="240"/>
              <w:spacing w:after="0" w:line="216" w:lineRule="exact"/>
              <w:rPr>
                <w:sz w:val="20"/>
                <w:szCs w:val="20"/>
                <w:color w:val="auto"/>
              </w:rPr>
            </w:pPr>
            <w:r>
              <w:rPr>
                <w:rFonts w:ascii="Arial" w:cs="Arial" w:eastAsia="Arial" w:hAnsi="Arial"/>
                <w:sz w:val="20"/>
                <w:szCs w:val="20"/>
                <w:color w:val="auto"/>
              </w:rPr>
              <w:t>Independent directors</w:t>
            </w:r>
          </w:p>
        </w:tc>
        <w:tc>
          <w:tcPr>
            <w:tcW w:w="2860" w:type="dxa"/>
            <w:vAlign w:val="bottom"/>
            <w:tcBorders>
              <w:right w:val="single" w:sz="8" w:color="D2E3F0"/>
            </w:tcBorders>
            <w:vMerge w:val="restart"/>
          </w:tcPr>
          <w:p>
            <w:pPr>
              <w:ind w:left="180"/>
              <w:spacing w:after="0" w:line="216" w:lineRule="exact"/>
              <w:rPr>
                <w:sz w:val="20"/>
                <w:szCs w:val="20"/>
                <w:color w:val="auto"/>
              </w:rPr>
            </w:pPr>
            <w:r>
              <w:rPr>
                <w:rFonts w:ascii="Arial" w:cs="Arial" w:eastAsia="Arial" w:hAnsi="Arial"/>
                <w:sz w:val="20"/>
                <w:szCs w:val="20"/>
                <w:color w:val="auto"/>
              </w:rPr>
              <w:t>executive compensation</w:t>
            </w:r>
          </w:p>
        </w:tc>
        <w:tc>
          <w:tcPr>
            <w:tcW w:w="2880" w:type="dxa"/>
            <w:vAlign w:val="bottom"/>
            <w:tcBorders>
              <w:right w:val="single" w:sz="8" w:color="D2E3F0"/>
            </w:tcBorders>
            <w:vMerge w:val="restart"/>
          </w:tcPr>
          <w:p>
            <w:pPr>
              <w:ind w:left="180"/>
              <w:spacing w:after="0" w:line="216" w:lineRule="exact"/>
              <w:rPr>
                <w:sz w:val="20"/>
                <w:szCs w:val="20"/>
                <w:color w:val="auto"/>
              </w:rPr>
            </w:pPr>
            <w:r>
              <w:rPr>
                <w:rFonts w:ascii="Arial" w:cs="Arial" w:eastAsia="Arial" w:hAnsi="Arial"/>
                <w:sz w:val="20"/>
                <w:szCs w:val="20"/>
                <w:color w:val="auto"/>
              </w:rPr>
              <w:t>and time commitments of</w:t>
            </w:r>
          </w:p>
        </w:tc>
        <w:tc>
          <w:tcPr>
            <w:tcW w:w="2740" w:type="dxa"/>
            <w:vAlign w:val="bottom"/>
            <w:tcBorders>
              <w:right w:val="single" w:sz="8" w:color="D2E3F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560" w:type="dxa"/>
            <w:vAlign w:val="bottom"/>
            <w:tcBorders>
              <w:left w:val="single" w:sz="8" w:color="D2E3F0"/>
              <w:right w:val="single" w:sz="8" w:color="D2E3F0"/>
            </w:tcBorders>
            <w:vMerge w:val="continue"/>
          </w:tcPr>
          <w:p>
            <w:pPr>
              <w:spacing w:after="0"/>
              <w:rPr>
                <w:sz w:val="11"/>
                <w:szCs w:val="11"/>
                <w:color w:val="auto"/>
              </w:rPr>
            </w:pPr>
          </w:p>
        </w:tc>
        <w:tc>
          <w:tcPr>
            <w:tcW w:w="2860" w:type="dxa"/>
            <w:vAlign w:val="bottom"/>
            <w:tcBorders>
              <w:right w:val="single" w:sz="8" w:color="D2E3F0"/>
            </w:tcBorders>
            <w:vMerge w:val="continue"/>
          </w:tcPr>
          <w:p>
            <w:pPr>
              <w:spacing w:after="0"/>
              <w:rPr>
                <w:sz w:val="11"/>
                <w:szCs w:val="11"/>
                <w:color w:val="auto"/>
              </w:rPr>
            </w:pPr>
          </w:p>
        </w:tc>
        <w:tc>
          <w:tcPr>
            <w:tcW w:w="2880" w:type="dxa"/>
            <w:vAlign w:val="bottom"/>
            <w:tcBorders>
              <w:right w:val="single" w:sz="8" w:color="D2E3F0"/>
            </w:tcBorders>
            <w:vMerge w:val="continue"/>
          </w:tcPr>
          <w:p>
            <w:pPr>
              <w:spacing w:after="0"/>
              <w:rPr>
                <w:sz w:val="11"/>
                <w:szCs w:val="11"/>
                <w:color w:val="auto"/>
              </w:rPr>
            </w:pPr>
          </w:p>
        </w:tc>
        <w:tc>
          <w:tcPr>
            <w:tcW w:w="2740" w:type="dxa"/>
            <w:vAlign w:val="bottom"/>
            <w:tcBorders>
              <w:right w:val="single" w:sz="8" w:color="D2E3F0"/>
            </w:tcBorders>
            <w:vMerge w:val="restart"/>
          </w:tcPr>
          <w:p>
            <w:pPr>
              <w:ind w:left="160"/>
              <w:spacing w:after="0"/>
              <w:rPr>
                <w:sz w:val="20"/>
                <w:szCs w:val="20"/>
                <w:color w:val="auto"/>
              </w:rPr>
            </w:pPr>
            <w:r>
              <w:rPr>
                <w:rFonts w:ascii="Arial" w:cs="Arial" w:eastAsia="Arial" w:hAnsi="Arial"/>
                <w:sz w:val="20"/>
                <w:szCs w:val="20"/>
                <w:color w:val="auto"/>
              </w:rPr>
              <w:t>company shares</w:t>
            </w:r>
          </w:p>
        </w:tc>
        <w:tc>
          <w:tcPr>
            <w:tcW w:w="0" w:type="dxa"/>
            <w:vAlign w:val="bottom"/>
          </w:tcPr>
          <w:p>
            <w:pPr>
              <w:spacing w:after="0"/>
              <w:rPr>
                <w:sz w:val="1"/>
                <w:szCs w:val="1"/>
                <w:color w:val="auto"/>
              </w:rPr>
            </w:pPr>
          </w:p>
        </w:tc>
      </w:tr>
      <w:tr>
        <w:trPr>
          <w:trHeight w:val="132"/>
        </w:trPr>
        <w:tc>
          <w:tcPr>
            <w:tcW w:w="2560" w:type="dxa"/>
            <w:vAlign w:val="bottom"/>
            <w:tcBorders>
              <w:left w:val="single" w:sz="8" w:color="D2E3F0"/>
              <w:right w:val="single" w:sz="8" w:color="D2E3F0"/>
            </w:tcBorders>
            <w:vMerge w:val="restart"/>
          </w:tcPr>
          <w:p>
            <w:pPr>
              <w:ind w:left="240"/>
              <w:spacing w:after="0" w:line="216" w:lineRule="exact"/>
              <w:rPr>
                <w:sz w:val="20"/>
                <w:szCs w:val="20"/>
                <w:color w:val="auto"/>
              </w:rPr>
            </w:pPr>
            <w:r>
              <w:rPr>
                <w:rFonts w:ascii="Arial" w:cs="Arial" w:eastAsia="Arial" w:hAnsi="Arial"/>
                <w:sz w:val="20"/>
                <w:szCs w:val="20"/>
                <w:color w:val="auto"/>
              </w:rPr>
              <w:t>hold regular executive</w:t>
            </w:r>
          </w:p>
        </w:tc>
        <w:tc>
          <w:tcPr>
            <w:tcW w:w="2860" w:type="dxa"/>
            <w:vAlign w:val="bottom"/>
            <w:tcBorders>
              <w:right w:val="single" w:sz="8" w:color="D2E3F0"/>
            </w:tcBorders>
          </w:tcPr>
          <w:p>
            <w:pPr>
              <w:spacing w:after="0"/>
              <w:rPr>
                <w:sz w:val="11"/>
                <w:szCs w:val="11"/>
                <w:color w:val="auto"/>
              </w:rPr>
            </w:pPr>
          </w:p>
        </w:tc>
        <w:tc>
          <w:tcPr>
            <w:tcW w:w="2880" w:type="dxa"/>
            <w:vAlign w:val="bottom"/>
            <w:tcBorders>
              <w:right w:val="single" w:sz="8" w:color="D2E3F0"/>
            </w:tcBorders>
            <w:vMerge w:val="restart"/>
          </w:tcPr>
          <w:p>
            <w:pPr>
              <w:ind w:left="180"/>
              <w:spacing w:after="0" w:line="216" w:lineRule="exact"/>
              <w:rPr>
                <w:sz w:val="20"/>
                <w:szCs w:val="20"/>
                <w:color w:val="auto"/>
              </w:rPr>
            </w:pPr>
            <w:r>
              <w:rPr>
                <w:rFonts w:ascii="Arial" w:cs="Arial" w:eastAsia="Arial" w:hAnsi="Arial"/>
                <w:sz w:val="20"/>
                <w:szCs w:val="20"/>
                <w:color w:val="auto"/>
              </w:rPr>
              <w:t>directors</w:t>
            </w:r>
          </w:p>
        </w:tc>
        <w:tc>
          <w:tcPr>
            <w:tcW w:w="2740" w:type="dxa"/>
            <w:vAlign w:val="bottom"/>
            <w:tcBorders>
              <w:right w:val="single" w:sz="8" w:color="D2E3F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560" w:type="dxa"/>
            <w:vAlign w:val="bottom"/>
            <w:tcBorders>
              <w:left w:val="single" w:sz="8" w:color="D2E3F0"/>
              <w:right w:val="single" w:sz="8" w:color="D2E3F0"/>
            </w:tcBorders>
            <w:vMerge w:val="continue"/>
          </w:tcPr>
          <w:p>
            <w:pPr>
              <w:spacing w:after="0"/>
              <w:rPr>
                <w:sz w:val="7"/>
                <w:szCs w:val="7"/>
                <w:color w:val="auto"/>
              </w:rPr>
            </w:pPr>
          </w:p>
        </w:tc>
        <w:tc>
          <w:tcPr>
            <w:tcW w:w="2860" w:type="dxa"/>
            <w:vAlign w:val="bottom"/>
            <w:tcBorders>
              <w:right w:val="single" w:sz="8" w:color="D2E3F0"/>
            </w:tcBorders>
          </w:tcPr>
          <w:p>
            <w:pPr>
              <w:spacing w:after="0"/>
              <w:rPr>
                <w:sz w:val="7"/>
                <w:szCs w:val="7"/>
                <w:color w:val="auto"/>
              </w:rPr>
            </w:pPr>
          </w:p>
        </w:tc>
        <w:tc>
          <w:tcPr>
            <w:tcW w:w="2880" w:type="dxa"/>
            <w:vAlign w:val="bottom"/>
            <w:tcBorders>
              <w:right w:val="single" w:sz="8" w:color="D2E3F0"/>
            </w:tcBorders>
            <w:vMerge w:val="continue"/>
          </w:tcPr>
          <w:p>
            <w:pPr>
              <w:spacing w:after="0"/>
              <w:rPr>
                <w:sz w:val="7"/>
                <w:szCs w:val="7"/>
                <w:color w:val="auto"/>
              </w:rPr>
            </w:pPr>
          </w:p>
        </w:tc>
        <w:tc>
          <w:tcPr>
            <w:tcW w:w="2740" w:type="dxa"/>
            <w:vAlign w:val="bottom"/>
            <w:tcBorders>
              <w:right w:val="single" w:sz="8" w:color="D2E3F0"/>
            </w:tcBorders>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560" w:type="dxa"/>
            <w:vAlign w:val="bottom"/>
            <w:tcBorders>
              <w:left w:val="single" w:sz="8" w:color="D2E3F0"/>
              <w:right w:val="single" w:sz="8" w:color="D2E3F0"/>
            </w:tcBorders>
          </w:tcPr>
          <w:p>
            <w:pPr>
              <w:ind w:left="240"/>
              <w:spacing w:after="0"/>
              <w:rPr>
                <w:sz w:val="20"/>
                <w:szCs w:val="20"/>
                <w:color w:val="auto"/>
              </w:rPr>
            </w:pPr>
            <w:r>
              <w:rPr>
                <w:rFonts w:ascii="Arial" w:cs="Arial" w:eastAsia="Arial" w:hAnsi="Arial"/>
                <w:sz w:val="20"/>
                <w:szCs w:val="20"/>
                <w:color w:val="auto"/>
              </w:rPr>
              <w:t>sessions</w:t>
            </w:r>
          </w:p>
        </w:tc>
        <w:tc>
          <w:tcPr>
            <w:tcW w:w="2860" w:type="dxa"/>
            <w:vAlign w:val="bottom"/>
            <w:tcBorders>
              <w:right w:val="single" w:sz="8" w:color="D2E3F0"/>
            </w:tcBorders>
          </w:tcPr>
          <w:p>
            <w:pPr>
              <w:spacing w:after="0"/>
              <w:rPr>
                <w:sz w:val="22"/>
                <w:szCs w:val="22"/>
                <w:color w:val="auto"/>
              </w:rPr>
            </w:pPr>
          </w:p>
        </w:tc>
        <w:tc>
          <w:tcPr>
            <w:tcW w:w="2880" w:type="dxa"/>
            <w:vAlign w:val="bottom"/>
            <w:tcBorders>
              <w:right w:val="single" w:sz="8" w:color="D2E3F0"/>
            </w:tcBorders>
          </w:tcPr>
          <w:p>
            <w:pPr>
              <w:spacing w:after="0"/>
              <w:rPr>
                <w:sz w:val="22"/>
                <w:szCs w:val="22"/>
                <w:color w:val="auto"/>
              </w:rPr>
            </w:pPr>
          </w:p>
        </w:tc>
        <w:tc>
          <w:tcPr>
            <w:tcW w:w="2740" w:type="dxa"/>
            <w:vAlign w:val="bottom"/>
            <w:tcBorders>
              <w:right w:val="single" w:sz="8" w:color="D2E3F0"/>
            </w:tcBorders>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560" w:type="dxa"/>
            <w:vAlign w:val="bottom"/>
            <w:tcBorders>
              <w:left w:val="single" w:sz="8" w:color="D2E3F0"/>
              <w:bottom w:val="single" w:sz="8" w:color="D2E3F0"/>
              <w:right w:val="single" w:sz="8" w:color="D2E3F0"/>
            </w:tcBorders>
          </w:tcPr>
          <w:p>
            <w:pPr>
              <w:spacing w:after="0"/>
              <w:rPr>
                <w:sz w:val="7"/>
                <w:szCs w:val="7"/>
                <w:color w:val="auto"/>
              </w:rPr>
            </w:pPr>
          </w:p>
        </w:tc>
        <w:tc>
          <w:tcPr>
            <w:tcW w:w="2860" w:type="dxa"/>
            <w:vAlign w:val="bottom"/>
            <w:tcBorders>
              <w:bottom w:val="single" w:sz="8" w:color="D2E3F0"/>
              <w:right w:val="single" w:sz="8" w:color="D2E3F0"/>
            </w:tcBorders>
          </w:tcPr>
          <w:p>
            <w:pPr>
              <w:spacing w:after="0"/>
              <w:rPr>
                <w:sz w:val="7"/>
                <w:szCs w:val="7"/>
                <w:color w:val="auto"/>
              </w:rPr>
            </w:pPr>
          </w:p>
        </w:tc>
        <w:tc>
          <w:tcPr>
            <w:tcW w:w="2880" w:type="dxa"/>
            <w:vAlign w:val="bottom"/>
            <w:tcBorders>
              <w:bottom w:val="single" w:sz="8" w:color="D2E3F0"/>
              <w:right w:val="single" w:sz="8" w:color="D2E3F0"/>
            </w:tcBorders>
          </w:tcPr>
          <w:p>
            <w:pPr>
              <w:spacing w:after="0"/>
              <w:rPr>
                <w:sz w:val="7"/>
                <w:szCs w:val="7"/>
                <w:color w:val="auto"/>
              </w:rPr>
            </w:pPr>
          </w:p>
        </w:tc>
        <w:tc>
          <w:tcPr>
            <w:tcW w:w="2740" w:type="dxa"/>
            <w:vAlign w:val="bottom"/>
            <w:tcBorders>
              <w:bottom w:val="single" w:sz="8" w:color="D2E3F0"/>
              <w:right w:val="single" w:sz="8" w:color="D2E3F0"/>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560" w:type="dxa"/>
            <w:vAlign w:val="bottom"/>
            <w:tcBorders>
              <w:bottom w:val="single" w:sz="8" w:color="1D3060"/>
            </w:tcBorders>
          </w:tcPr>
          <w:p>
            <w:pPr>
              <w:spacing w:after="0"/>
              <w:rPr>
                <w:sz w:val="12"/>
                <w:szCs w:val="12"/>
                <w:color w:val="auto"/>
              </w:rPr>
            </w:pPr>
          </w:p>
        </w:tc>
        <w:tc>
          <w:tcPr>
            <w:tcW w:w="2860" w:type="dxa"/>
            <w:vAlign w:val="bottom"/>
            <w:tcBorders>
              <w:bottom w:val="single" w:sz="8" w:color="1D3060"/>
            </w:tcBorders>
          </w:tcPr>
          <w:p>
            <w:pPr>
              <w:spacing w:after="0"/>
              <w:rPr>
                <w:sz w:val="12"/>
                <w:szCs w:val="12"/>
                <w:color w:val="auto"/>
              </w:rPr>
            </w:pPr>
          </w:p>
        </w:tc>
        <w:tc>
          <w:tcPr>
            <w:tcW w:w="2880" w:type="dxa"/>
            <w:vAlign w:val="bottom"/>
            <w:tcBorders>
              <w:bottom w:val="single" w:sz="8" w:color="1D3060"/>
            </w:tcBorders>
          </w:tcPr>
          <w:p>
            <w:pPr>
              <w:spacing w:after="0"/>
              <w:rPr>
                <w:sz w:val="12"/>
                <w:szCs w:val="12"/>
                <w:color w:val="auto"/>
              </w:rPr>
            </w:pPr>
          </w:p>
        </w:tc>
        <w:tc>
          <w:tcPr>
            <w:tcW w:w="2740" w:type="dxa"/>
            <w:vAlign w:val="bottom"/>
            <w:tcBorders>
              <w:bottom w:val="single" w:sz="8" w:color="1D3060"/>
            </w:tcBorders>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25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740" w:type="dxa"/>
            <w:vAlign w:val="bottom"/>
          </w:tcPr>
          <w:p>
            <w:pPr>
              <w:ind w:left="2040"/>
              <w:spacing w:after="0"/>
              <w:rPr>
                <w:sz w:val="20"/>
                <w:szCs w:val="20"/>
                <w:color w:val="auto"/>
              </w:rPr>
            </w:pPr>
            <w:r>
              <w:rPr>
                <w:rFonts w:ascii="Arial" w:cs="Arial" w:eastAsia="Arial" w:hAnsi="Arial"/>
                <w:sz w:val="18"/>
                <w:szCs w:val="18"/>
                <w:b w:val="1"/>
                <w:bCs w:val="1"/>
                <w:color w:val="6AA0D4"/>
                <w:w w:val="96"/>
              </w:rPr>
              <w:t>Page |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5054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Corporate Governance Materials</w:t>
      </w:r>
    </w:p>
    <w:p>
      <w:pPr>
        <w:spacing w:after="0" w:line="204" w:lineRule="exact"/>
        <w:rPr>
          <w:sz w:val="20"/>
          <w:szCs w:val="20"/>
          <w:color w:val="auto"/>
        </w:rPr>
      </w:pPr>
    </w:p>
    <w:p>
      <w:pPr>
        <w:ind w:left="120" w:right="80" w:firstLine="771"/>
        <w:spacing w:after="0" w:line="241" w:lineRule="auto"/>
        <w:rPr>
          <w:sz w:val="20"/>
          <w:szCs w:val="20"/>
          <w:color w:val="auto"/>
        </w:rPr>
      </w:pPr>
      <w:r>
        <w:rPr>
          <w:rFonts w:ascii="Arial" w:cs="Arial" w:eastAsia="Arial" w:hAnsi="Arial"/>
          <w:sz w:val="20"/>
          <w:szCs w:val="20"/>
          <w:color w:val="auto"/>
        </w:rPr>
        <w:t>Our board of directors has adopted corporate governance guidelines to assist in the exercise of its duties and responsibilities and to serve the best interests of Alnylam and our stockholders. These guidelines provide a framework for the conduct of our board of directors’ business.</w:t>
      </w:r>
    </w:p>
    <w:p>
      <w:pPr>
        <w:spacing w:after="0" w:line="171" w:lineRule="exact"/>
        <w:rPr>
          <w:sz w:val="20"/>
          <w:szCs w:val="20"/>
          <w:color w:val="auto"/>
        </w:rPr>
      </w:pPr>
    </w:p>
    <w:p>
      <w:pPr>
        <w:ind w:left="120" w:right="100" w:firstLine="771"/>
        <w:spacing w:after="0" w:line="237" w:lineRule="auto"/>
        <w:rPr>
          <w:sz w:val="20"/>
          <w:szCs w:val="20"/>
          <w:color w:val="auto"/>
        </w:rPr>
      </w:pPr>
      <w:r>
        <w:rPr>
          <w:rFonts w:ascii="Arial" w:cs="Arial" w:eastAsia="Arial" w:hAnsi="Arial"/>
          <w:sz w:val="20"/>
          <w:szCs w:val="20"/>
          <w:color w:val="auto"/>
        </w:rPr>
        <w:t>The board has also adopted a code of business conduct and ethics, which applies to all of our officers, directors and employees, and has adopted charters for our audit committee, our people, culture and compensation committee (sometimes referred to in this proxy statement as our PC&amp;C committee), our nominating and corporate governance committee, and our science and technology committee.</w:t>
      </w:r>
    </w:p>
    <w:p>
      <w:pPr>
        <w:spacing w:after="0" w:line="172" w:lineRule="exact"/>
        <w:rPr>
          <w:sz w:val="20"/>
          <w:szCs w:val="20"/>
          <w:color w:val="auto"/>
        </w:rPr>
      </w:pPr>
    </w:p>
    <w:p>
      <w:pPr>
        <w:ind w:left="120" w:right="140" w:firstLine="771"/>
        <w:spacing w:after="0" w:line="241" w:lineRule="auto"/>
        <w:rPr>
          <w:sz w:val="20"/>
          <w:szCs w:val="20"/>
          <w:color w:val="auto"/>
        </w:rPr>
      </w:pPr>
      <w:r>
        <w:rPr>
          <w:rFonts w:ascii="Arial" w:cs="Arial" w:eastAsia="Arial" w:hAnsi="Arial"/>
          <w:sz w:val="20"/>
          <w:szCs w:val="20"/>
          <w:color w:val="auto"/>
        </w:rPr>
        <w:t xml:space="preserve">We have posted copies of these documents on the Corporate Governance page of the Investors section of our website, </w:t>
      </w:r>
      <w:r>
        <w:rPr>
          <w:rFonts w:ascii="Arial" w:cs="Arial" w:eastAsia="Arial" w:hAnsi="Arial"/>
          <w:sz w:val="20"/>
          <w:szCs w:val="20"/>
          <w:i w:val="1"/>
          <w:iCs w:val="1"/>
          <w:u w:val="single" w:color="auto"/>
          <w:color w:val="2275B5"/>
        </w:rPr>
        <w:t>www.alnylam.com</w:t>
      </w:r>
      <w:r>
        <w:rPr>
          <w:rFonts w:ascii="Arial" w:cs="Arial" w:eastAsia="Arial" w:hAnsi="Arial"/>
          <w:sz w:val="20"/>
          <w:szCs w:val="20"/>
          <w:color w:val="auto"/>
        </w:rPr>
        <w:t>. We intend to disclose on our website any amendments to, or waivers from, our code of business conduct and ethics required to be disclosed by law or Nasdaq Global Select Market listing standards.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Transition of Executive Chair Role</w:t>
      </w:r>
    </w:p>
    <w:p>
      <w:pPr>
        <w:spacing w:after="0" w:line="204" w:lineRule="exact"/>
        <w:rPr>
          <w:sz w:val="20"/>
          <w:szCs w:val="20"/>
          <w:color w:val="auto"/>
        </w:rPr>
      </w:pPr>
    </w:p>
    <w:p>
      <w:pPr>
        <w:ind w:left="120" w:right="40" w:firstLine="771"/>
        <w:spacing w:after="0" w:line="252" w:lineRule="auto"/>
        <w:rPr>
          <w:sz w:val="20"/>
          <w:szCs w:val="20"/>
          <w:color w:val="auto"/>
        </w:rPr>
      </w:pPr>
      <w:r>
        <w:rPr>
          <w:rFonts w:ascii="Arial" w:cs="Arial" w:eastAsia="Arial" w:hAnsi="Arial"/>
          <w:sz w:val="19"/>
          <w:szCs w:val="19"/>
          <w:color w:val="auto"/>
        </w:rPr>
        <w:t>In January 2023, Michael W. Bonney transitioned from the role of executive chair of our board, where he was focused on integrating the ethics and compliance function at the company, a role he assumed for just over a year during which the company appointed a new chief ethics and compliance officer, to serve as a non-independent director on the board, and Amy W. Schulman, our former lead independent director, was appointed by the board to serve as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8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3881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35"/>
          <w:szCs w:val="35"/>
          <w:b w:val="1"/>
          <w:bCs w:val="1"/>
          <w:color w:val="2275B5"/>
        </w:rPr>
        <w:t>ESG</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Corporate Responsibility</w:t>
      </w:r>
    </w:p>
    <w:p>
      <w:pPr>
        <w:spacing w:after="0" w:line="191" w:lineRule="exact"/>
        <w:rPr>
          <w:sz w:val="20"/>
          <w:szCs w:val="20"/>
          <w:color w:val="auto"/>
        </w:rPr>
      </w:pPr>
    </w:p>
    <w:p>
      <w:pPr>
        <w:ind w:left="120" w:right="140" w:firstLine="594"/>
        <w:spacing w:after="0" w:line="234" w:lineRule="auto"/>
        <w:rPr>
          <w:sz w:val="20"/>
          <w:szCs w:val="20"/>
          <w:color w:val="auto"/>
        </w:rPr>
      </w:pPr>
      <w:r>
        <w:rPr>
          <w:rFonts w:ascii="Arial" w:cs="Arial" w:eastAsia="Arial" w:hAnsi="Arial"/>
          <w:sz w:val="20"/>
          <w:szCs w:val="20"/>
          <w:color w:val="auto"/>
        </w:rPr>
        <w:t>We are working to advance a whole new class of innovative medicines with the potential to transform the lives of people affected by rare and prevalent diseases around the world. This challenge is accompanied by a responsibility to be an ethical, values-based corporate citizen, which frames our approach to Corporate Responsibility, or CR.</w:t>
      </w:r>
    </w:p>
    <w:p>
      <w:pPr>
        <w:spacing w:after="0" w:line="161" w:lineRule="exact"/>
        <w:rPr>
          <w:sz w:val="20"/>
          <w:szCs w:val="20"/>
          <w:color w:val="auto"/>
        </w:rPr>
      </w:pPr>
    </w:p>
    <w:p>
      <w:pPr>
        <w:ind w:left="120" w:right="220" w:firstLine="594"/>
        <w:spacing w:after="0" w:line="234" w:lineRule="auto"/>
        <w:rPr>
          <w:sz w:val="20"/>
          <w:szCs w:val="20"/>
          <w:color w:val="auto"/>
        </w:rPr>
      </w:pPr>
      <w:r>
        <w:rPr>
          <w:rFonts w:ascii="Arial" w:cs="Arial" w:eastAsia="Arial" w:hAnsi="Arial"/>
          <w:sz w:val="20"/>
          <w:szCs w:val="20"/>
          <w:color w:val="auto"/>
        </w:rPr>
        <w:t>Corporate Responsibility at Alnylam centers around a global theme: “Accepting Challenges to Improve the Health of Humanity.” This theme informs our business strategy and how we operate across closely interrelated pillars material to our everyday operations and external impact – Patients, Science, Employees, Communities, Planet, and Governance.</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Governance</w:t>
      </w:r>
    </w:p>
    <w:p>
      <w:pPr>
        <w:spacing w:after="0" w:line="191" w:lineRule="exact"/>
        <w:rPr>
          <w:sz w:val="20"/>
          <w:szCs w:val="20"/>
          <w:color w:val="auto"/>
        </w:rPr>
      </w:pPr>
    </w:p>
    <w:p>
      <w:pPr>
        <w:ind w:left="120" w:firstLine="594"/>
        <w:spacing w:after="0" w:line="234" w:lineRule="auto"/>
        <w:rPr>
          <w:sz w:val="20"/>
          <w:szCs w:val="20"/>
          <w:color w:val="auto"/>
        </w:rPr>
      </w:pPr>
      <w:r>
        <w:rPr>
          <w:rFonts w:ascii="Arial" w:cs="Arial" w:eastAsia="Arial" w:hAnsi="Arial"/>
          <w:sz w:val="20"/>
          <w:szCs w:val="20"/>
          <w:color w:val="auto"/>
        </w:rPr>
        <w:t>Our board sets the tone for governance across our company. Our nominating and corporate governance committee provides direct oversight of and engagement with our CR and ESG-related matters. Our executive leadership team is also directly involved in CR through focus-area-specific teams that advance our work on a regular basis.</w:t>
      </w:r>
    </w:p>
    <w:p>
      <w:pPr>
        <w:spacing w:after="0" w:line="161" w:lineRule="exact"/>
        <w:rPr>
          <w:sz w:val="20"/>
          <w:szCs w:val="20"/>
          <w:color w:val="auto"/>
        </w:rPr>
      </w:pPr>
    </w:p>
    <w:p>
      <w:pPr>
        <w:ind w:left="120" w:right="80" w:firstLine="594"/>
        <w:spacing w:after="0" w:line="231" w:lineRule="auto"/>
        <w:rPr>
          <w:sz w:val="20"/>
          <w:szCs w:val="20"/>
          <w:color w:val="auto"/>
        </w:rPr>
      </w:pPr>
      <w:r>
        <w:rPr>
          <w:rFonts w:ascii="Arial" w:cs="Arial" w:eastAsia="Arial" w:hAnsi="Arial"/>
          <w:sz w:val="20"/>
          <w:szCs w:val="20"/>
          <w:color w:val="auto"/>
        </w:rPr>
        <w:t>We have a CR Steering Committee structure that aligns key working groups for each of our CR pillars. Each pillar’s working group is led by a Chair or Chairs who are also members of the CR Steering Committee and key leaders from various company areas whose responsibilities align with each pillar. These dedicated professionals oversee, develop strategy for, and review reporting and key performance indicators surrounding their individual pillars. By utilizing a cross-functional, team-based approach to CR, we continuously seek to integrate these strategies into our existing business initiatives.</w:t>
      </w:r>
    </w:p>
    <w:p>
      <w:pPr>
        <w:spacing w:after="0" w:line="160" w:lineRule="exact"/>
        <w:rPr>
          <w:sz w:val="20"/>
          <w:szCs w:val="20"/>
          <w:color w:val="auto"/>
        </w:rPr>
      </w:pPr>
    </w:p>
    <w:p>
      <w:pPr>
        <w:ind w:left="120" w:firstLine="594"/>
        <w:spacing w:after="0" w:line="218" w:lineRule="auto"/>
        <w:rPr>
          <w:sz w:val="20"/>
          <w:szCs w:val="20"/>
          <w:color w:val="auto"/>
        </w:rPr>
      </w:pPr>
      <w:r>
        <w:rPr>
          <w:rFonts w:ascii="Arial" w:cs="Arial" w:eastAsia="Arial" w:hAnsi="Arial"/>
          <w:sz w:val="20"/>
          <w:szCs w:val="20"/>
          <w:color w:val="auto"/>
        </w:rPr>
        <w:t xml:space="preserve">In 2023, we revisited our 2021 materiality assessment to ensure the topics we identified remained relevant. CR Steering Committee members reviewed a complete benchmarking study and ensured our work in CR aligned with the goals of our </w:t>
      </w:r>
      <w:r>
        <w:rPr>
          <w:rFonts w:ascii="Arial" w:cs="Arial" w:eastAsia="Arial" w:hAnsi="Arial"/>
          <w:sz w:val="20"/>
          <w:szCs w:val="20"/>
          <w:i w:val="1"/>
          <w:iCs w:val="1"/>
          <w:color w:val="auto"/>
        </w:rPr>
        <w:t>P</w:t>
      </w:r>
      <w:r>
        <w:rPr>
          <w:rFonts w:ascii="Arial" w:cs="Arial" w:eastAsia="Arial" w:hAnsi="Arial"/>
          <w:sz w:val="29"/>
          <w:szCs w:val="29"/>
          <w:i w:val="1"/>
          <w:iCs w:val="1"/>
          <w:color w:val="auto"/>
          <w:vertAlign w:val="superscript"/>
        </w:rPr>
        <w:t>5</w:t>
      </w:r>
      <w:r>
        <w:rPr>
          <w:rFonts w:ascii="Arial" w:cs="Arial" w:eastAsia="Arial" w:hAnsi="Arial"/>
          <w:sz w:val="20"/>
          <w:szCs w:val="20"/>
          <w:i w:val="1"/>
          <w:iCs w:val="1"/>
          <w:color w:val="auto"/>
        </w:rPr>
        <w:t>x25</w:t>
      </w:r>
      <w:r>
        <w:rPr>
          <w:rFonts w:ascii="Arial" w:cs="Arial" w:eastAsia="Arial" w:hAnsi="Arial"/>
          <w:sz w:val="20"/>
          <w:szCs w:val="20"/>
          <w:color w:val="auto"/>
        </w:rPr>
        <w:t xml:space="preserve"> corporate strategy. As the company considers its role in becoming a top-tier biotech by 2025, our CR Steering Committee analyzed the expectations of an industry leader in CR as well. We continued to invest in and formalize our CR program, identified the issues material to stakeholders, and developed action plans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92710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1D3060"/>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-320675</wp:posOffset>
            </wp:positionV>
            <wp:extent cx="2451735" cy="5040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51735" cy="504063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1D3060"/>
        </w:rPr>
        <w:t>Responsibility Pillars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b w:val="1"/>
          <w:bCs w:val="1"/>
          <w:color w:val="2275B5"/>
        </w:rPr>
        <w:t xml:space="preserve">Patients: </w:t>
      </w:r>
      <w:r>
        <w:rPr>
          <w:rFonts w:ascii="Arial" w:cs="Arial" w:eastAsia="Arial" w:hAnsi="Arial"/>
          <w:sz w:val="16"/>
          <w:szCs w:val="16"/>
          <w:color w:val="000000"/>
        </w:rPr>
        <w:t>We strive to improve patients’ lives and</w:t>
      </w:r>
      <w:r>
        <w:rPr>
          <w:rFonts w:ascii="Arial" w:cs="Arial" w:eastAsia="Arial" w:hAnsi="Arial"/>
          <w:sz w:val="16"/>
          <w:szCs w:val="16"/>
          <w:b w:val="1"/>
          <w:bCs w:val="1"/>
          <w:color w:val="2275B5"/>
        </w:rPr>
        <w:t xml:space="preserve"> </w:t>
      </w:r>
      <w:r>
        <w:rPr>
          <w:rFonts w:ascii="Arial" w:cs="Arial" w:eastAsia="Arial" w:hAnsi="Arial"/>
          <w:sz w:val="16"/>
          <w:szCs w:val="16"/>
          <w:color w:val="000000"/>
        </w:rPr>
        <w:t>enable access to potentially life-changing treatments.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2275B5"/>
        </w:rPr>
        <w:t xml:space="preserve">Science: </w:t>
      </w:r>
      <w:r>
        <w:rPr>
          <w:rFonts w:ascii="Arial" w:cs="Arial" w:eastAsia="Arial" w:hAnsi="Arial"/>
          <w:sz w:val="16"/>
          <w:szCs w:val="16"/>
          <w:color w:val="000000"/>
        </w:rPr>
        <w:t>We advocate for science and innovation</w:t>
      </w:r>
      <w:r>
        <w:rPr>
          <w:rFonts w:ascii="Arial" w:cs="Arial" w:eastAsia="Arial" w:hAnsi="Arial"/>
          <w:sz w:val="16"/>
          <w:szCs w:val="16"/>
          <w:b w:val="1"/>
          <w:bCs w:val="1"/>
          <w:color w:val="2275B5"/>
        </w:rPr>
        <w:t xml:space="preserve"> </w:t>
      </w:r>
      <w:r>
        <w:rPr>
          <w:rFonts w:ascii="Arial" w:cs="Arial" w:eastAsia="Arial" w:hAnsi="Arial"/>
          <w:sz w:val="16"/>
          <w:szCs w:val="16"/>
          <w:color w:val="000000"/>
        </w:rPr>
        <w:t>to address critical health and social issues.</w:t>
      </w:r>
    </w:p>
    <w:p>
      <w:pPr>
        <w:spacing w:after="0" w:line="102"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b w:val="1"/>
          <w:bCs w:val="1"/>
          <w:color w:val="2275B5"/>
        </w:rPr>
        <w:t xml:space="preserve">Employees: </w:t>
      </w:r>
      <w:r>
        <w:rPr>
          <w:rFonts w:ascii="Arial" w:cs="Arial" w:eastAsia="Arial" w:hAnsi="Arial"/>
          <w:sz w:val="16"/>
          <w:szCs w:val="16"/>
          <w:color w:val="000000"/>
        </w:rPr>
        <w:t>We foster an open, diverse culture</w:t>
      </w:r>
      <w:r>
        <w:rPr>
          <w:rFonts w:ascii="Arial" w:cs="Arial" w:eastAsia="Arial" w:hAnsi="Arial"/>
          <w:sz w:val="16"/>
          <w:szCs w:val="16"/>
          <w:b w:val="1"/>
          <w:bCs w:val="1"/>
          <w:color w:val="2275B5"/>
        </w:rPr>
        <w:t xml:space="preserve"> </w:t>
      </w:r>
      <w:r>
        <w:rPr>
          <w:rFonts w:ascii="Arial" w:cs="Arial" w:eastAsia="Arial" w:hAnsi="Arial"/>
          <w:sz w:val="16"/>
          <w:szCs w:val="16"/>
          <w:color w:val="000000"/>
        </w:rPr>
        <w:t>where employees feel included, supported, and heard.</w:t>
      </w:r>
    </w:p>
    <w:p>
      <w:pPr>
        <w:spacing w:after="0" w:line="117"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color w:val="2275B5"/>
        </w:rPr>
        <w:t xml:space="preserve">Communities: </w:t>
      </w:r>
      <w:r>
        <w:rPr>
          <w:rFonts w:ascii="Arial" w:cs="Arial" w:eastAsia="Arial" w:hAnsi="Arial"/>
          <w:sz w:val="16"/>
          <w:szCs w:val="16"/>
          <w:color w:val="000000"/>
        </w:rPr>
        <w:t>We actively engage people in</w:t>
      </w:r>
      <w:r>
        <w:rPr>
          <w:rFonts w:ascii="Arial" w:cs="Arial" w:eastAsia="Arial" w:hAnsi="Arial"/>
          <w:sz w:val="16"/>
          <w:szCs w:val="16"/>
          <w:b w:val="1"/>
          <w:bCs w:val="1"/>
          <w:color w:val="2275B5"/>
        </w:rPr>
        <w:t xml:space="preserve"> </w:t>
      </w:r>
      <w:r>
        <w:rPr>
          <w:rFonts w:ascii="Arial" w:cs="Arial" w:eastAsia="Arial" w:hAnsi="Arial"/>
          <w:sz w:val="16"/>
          <w:szCs w:val="16"/>
          <w:color w:val="000000"/>
        </w:rPr>
        <w:t>tackling the world’s most pressing community and health equity challenges.</w:t>
      </w:r>
    </w:p>
    <w:p>
      <w:pPr>
        <w:spacing w:after="0" w:line="117"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b w:val="1"/>
          <w:bCs w:val="1"/>
          <w:color w:val="2275B5"/>
        </w:rPr>
        <w:t xml:space="preserve">Planet: </w:t>
      </w:r>
      <w:r>
        <w:rPr>
          <w:rFonts w:ascii="Arial" w:cs="Arial" w:eastAsia="Arial" w:hAnsi="Arial"/>
          <w:sz w:val="16"/>
          <w:szCs w:val="16"/>
          <w:color w:val="000000"/>
        </w:rPr>
        <w:t>We seek to improve the health and</w:t>
      </w:r>
      <w:r>
        <w:rPr>
          <w:rFonts w:ascii="Arial" w:cs="Arial" w:eastAsia="Arial" w:hAnsi="Arial"/>
          <w:sz w:val="16"/>
          <w:szCs w:val="16"/>
          <w:b w:val="1"/>
          <w:bCs w:val="1"/>
          <w:color w:val="2275B5"/>
        </w:rPr>
        <w:t xml:space="preserve"> </w:t>
      </w:r>
      <w:r>
        <w:rPr>
          <w:rFonts w:ascii="Arial" w:cs="Arial" w:eastAsia="Arial" w:hAnsi="Arial"/>
          <w:sz w:val="16"/>
          <w:szCs w:val="16"/>
          <w:color w:val="000000"/>
        </w:rPr>
        <w:t>sustainability of our planet.</w:t>
      </w:r>
    </w:p>
    <w:p>
      <w:pPr>
        <w:spacing w:after="0" w:line="102"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b w:val="1"/>
          <w:bCs w:val="1"/>
          <w:color w:val="2275B5"/>
        </w:rPr>
        <w:t xml:space="preserve">Governance: </w:t>
      </w:r>
      <w:r>
        <w:rPr>
          <w:rFonts w:ascii="Arial" w:cs="Arial" w:eastAsia="Arial" w:hAnsi="Arial"/>
          <w:sz w:val="16"/>
          <w:szCs w:val="16"/>
          <w:color w:val="000000"/>
        </w:rPr>
        <w:t>We set high standards for our</w:t>
      </w:r>
      <w:r>
        <w:rPr>
          <w:rFonts w:ascii="Arial" w:cs="Arial" w:eastAsia="Arial" w:hAnsi="Arial"/>
          <w:sz w:val="16"/>
          <w:szCs w:val="16"/>
          <w:b w:val="1"/>
          <w:bCs w:val="1"/>
          <w:color w:val="2275B5"/>
        </w:rPr>
        <w:t xml:space="preserve"> </w:t>
      </w:r>
      <w:r>
        <w:rPr>
          <w:rFonts w:ascii="Arial" w:cs="Arial" w:eastAsia="Arial" w:hAnsi="Arial"/>
          <w:sz w:val="16"/>
          <w:szCs w:val="16"/>
          <w:color w:val="000000"/>
        </w:rPr>
        <w:t>employees and partners.</w:t>
      </w:r>
    </w:p>
    <w:p>
      <w:pPr>
        <w:spacing w:after="0" w:line="866" w:lineRule="exact"/>
        <w:rPr>
          <w:sz w:val="20"/>
          <w:szCs w:val="20"/>
          <w:color w:val="auto"/>
        </w:rPr>
      </w:pPr>
    </w:p>
    <w:p>
      <w:pPr>
        <w:sectPr>
          <w:pgSz w:w="11900" w:h="16838" w:orient="portrait"/>
          <w:cols w:equalWidth="0" w:num="2">
            <w:col w:w="7220" w:space="180"/>
            <w:col w:w="3740"/>
          </w:cols>
          <w:pgMar w:left="320" w:top="482" w:right="439" w:bottom="1440" w:gutter="0" w:footer="0" w:header="0"/>
          <w:type w:val="continuous"/>
        </w:sectPr>
      </w:pPr>
    </w:p>
    <w:p>
      <w:pPr>
        <w:ind w:left="10460"/>
        <w:spacing w:after="0"/>
        <w:rPr>
          <w:sz w:val="20"/>
          <w:szCs w:val="20"/>
          <w:color w:val="auto"/>
        </w:rPr>
      </w:pPr>
      <w:r>
        <w:rPr>
          <w:rFonts w:ascii="Arial" w:cs="Arial" w:eastAsia="Arial" w:hAnsi="Arial"/>
          <w:sz w:val="17"/>
          <w:szCs w:val="17"/>
          <w:b w:val="1"/>
          <w:bCs w:val="1"/>
          <w:color w:val="6AA0D4"/>
        </w:rPr>
        <w:t>Page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440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440180"/>
                    </a:xfrm>
                    <a:prstGeom prst="rect">
                      <a:avLst/>
                    </a:prstGeom>
                    <a:noFill/>
                  </pic:spPr>
                </pic:pic>
              </a:graphicData>
            </a:graphic>
          </wp:anchor>
        </w:drawing>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1D3060"/>
        </w:rPr>
        <w:t>Continued Investment in ESG and Corporate Responsibility</w:t>
      </w:r>
    </w:p>
    <w:p>
      <w:pPr>
        <w:spacing w:after="0" w:line="108" w:lineRule="exact"/>
        <w:rPr>
          <w:sz w:val="20"/>
          <w:szCs w:val="20"/>
          <w:color w:val="auto"/>
        </w:rPr>
      </w:pPr>
    </w:p>
    <w:p>
      <w:pPr>
        <w:ind w:left="660" w:right="480" w:hanging="268"/>
        <w:spacing w:after="0" w:line="232" w:lineRule="auto"/>
        <w:rPr>
          <w:sz w:val="20"/>
          <w:szCs w:val="20"/>
          <w:color w:val="auto"/>
        </w:rPr>
      </w:pPr>
      <w:r>
        <w:rPr>
          <w:rFonts w:ascii="Arial" w:cs="Arial" w:eastAsia="Arial" w:hAnsi="Arial"/>
          <w:sz w:val="20"/>
          <w:szCs w:val="20"/>
          <w:color w:val="auto"/>
        </w:rPr>
        <w:t xml:space="preserve">•    Continued to publish our CR report annually </w:t>
      </w:r>
      <w:r>
        <w:rPr>
          <w:rFonts w:ascii="Arial" w:cs="Arial" w:eastAsia="Arial" w:hAnsi="Arial"/>
          <w:sz w:val="20"/>
          <w:szCs w:val="20"/>
          <w:b w:val="1"/>
          <w:bCs w:val="1"/>
          <w:color w:val="auto"/>
        </w:rPr>
        <w:t>and aligned the most applicable global CR and ESG reporting</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frameworks, including the Sustainability Accounting Standards Board’s Biotechnology &amp; Pharmaceuticals Standard </w:t>
      </w:r>
      <w:r>
        <w:rPr>
          <w:rFonts w:ascii="Arial" w:cs="Arial" w:eastAsia="Arial" w:hAnsi="Arial"/>
          <w:sz w:val="20"/>
          <w:szCs w:val="20"/>
          <w:color w:val="auto"/>
        </w:rPr>
        <w:t>and the</w:t>
      </w:r>
      <w:r>
        <w:rPr>
          <w:rFonts w:ascii="Arial" w:cs="Arial" w:eastAsia="Arial" w:hAnsi="Arial"/>
          <w:sz w:val="20"/>
          <w:szCs w:val="20"/>
          <w:b w:val="1"/>
          <w:bCs w:val="1"/>
          <w:color w:val="auto"/>
        </w:rPr>
        <w:t xml:space="preserve"> Global Reporting Initiative Standard: Core Option Framework</w:t>
      </w:r>
      <w:r>
        <w:rPr>
          <w:rFonts w:ascii="Arial" w:cs="Arial" w:eastAsia="Arial" w:hAnsi="Arial"/>
          <w:sz w:val="20"/>
          <w:szCs w:val="20"/>
          <w:color w:val="auto"/>
        </w:rPr>
        <w:t>.</w:t>
      </w:r>
    </w:p>
    <w:p>
      <w:pPr>
        <w:spacing w:after="0" w:line="1" w:lineRule="exact"/>
        <w:rPr>
          <w:sz w:val="20"/>
          <w:szCs w:val="20"/>
          <w:color w:val="auto"/>
        </w:rPr>
      </w:pPr>
    </w:p>
    <w:p>
      <w:pPr>
        <w:ind w:left="660" w:right="60" w:hanging="268"/>
        <w:spacing w:after="0" w:line="225" w:lineRule="auto"/>
        <w:rPr>
          <w:sz w:val="20"/>
          <w:szCs w:val="20"/>
          <w:color w:val="auto"/>
        </w:rPr>
      </w:pPr>
      <w:r>
        <w:rPr>
          <w:rFonts w:ascii="Arial" w:cs="Arial" w:eastAsia="Arial" w:hAnsi="Arial"/>
          <w:sz w:val="20"/>
          <w:szCs w:val="20"/>
          <w:color w:val="auto"/>
        </w:rPr>
        <w:t>•    </w:t>
      </w:r>
      <w:r>
        <w:rPr>
          <w:rFonts w:ascii="Arial" w:cs="Arial" w:eastAsia="Arial" w:hAnsi="Arial"/>
          <w:sz w:val="20"/>
          <w:szCs w:val="20"/>
          <w:b w:val="1"/>
          <w:bCs w:val="1"/>
          <w:color w:val="auto"/>
        </w:rPr>
        <w:t>Published our complete Scope 1 and Scope 2 GHG emissions</w:t>
      </w:r>
      <w:r>
        <w:rPr>
          <w:rFonts w:ascii="Arial" w:cs="Arial" w:eastAsia="Arial" w:hAnsi="Arial"/>
          <w:sz w:val="20"/>
          <w:szCs w:val="20"/>
          <w:color w:val="auto"/>
        </w:rPr>
        <w:t xml:space="preserve"> and selected three Scope 3 emissions categories as well as our global water and waste footprint. We will continue to pursue advancements in data management and appropriate target-setting measures globally.</w:t>
      </w:r>
    </w:p>
    <w:p>
      <w:pPr>
        <w:spacing w:after="0" w:line="1" w:lineRule="exact"/>
        <w:rPr>
          <w:sz w:val="20"/>
          <w:szCs w:val="20"/>
          <w:color w:val="auto"/>
        </w:rPr>
      </w:pPr>
    </w:p>
    <w:p>
      <w:pPr>
        <w:ind w:left="660" w:right="840" w:hanging="268"/>
        <w:spacing w:after="0" w:line="239" w:lineRule="auto"/>
        <w:rPr>
          <w:sz w:val="20"/>
          <w:szCs w:val="20"/>
          <w:color w:val="auto"/>
        </w:rPr>
      </w:pPr>
      <w:r>
        <w:rPr>
          <w:rFonts w:ascii="Arial" w:cs="Arial" w:eastAsia="Arial" w:hAnsi="Arial"/>
          <w:sz w:val="20"/>
          <w:szCs w:val="20"/>
          <w:color w:val="auto"/>
        </w:rPr>
        <w:t>•    </w:t>
      </w:r>
      <w:r>
        <w:rPr>
          <w:rFonts w:ascii="Arial" w:cs="Arial" w:eastAsia="Arial" w:hAnsi="Arial"/>
          <w:sz w:val="20"/>
          <w:szCs w:val="20"/>
          <w:b w:val="1"/>
          <w:bCs w:val="1"/>
          <w:color w:val="auto"/>
        </w:rPr>
        <w:t>Continued expansion of our Alnylam Challengers Signature Social Impact Program</w:t>
      </w:r>
      <w:r>
        <w:rPr>
          <w:rFonts w:ascii="Arial" w:cs="Arial" w:eastAsia="Arial" w:hAnsi="Arial"/>
          <w:sz w:val="20"/>
          <w:szCs w:val="20"/>
          <w:color w:val="auto"/>
        </w:rPr>
        <w:t xml:space="preserve"> and alignment of our community programming to our health equity principles globally.</w:t>
      </w:r>
    </w:p>
    <w:p>
      <w:pPr>
        <w:sectPr>
          <w:pgSz w:w="11900" w:h="16838" w:orient="portrait"/>
          <w:cols w:equalWidth="0" w:num="1">
            <w:col w:w="11140"/>
          </w:cols>
          <w:pgMar w:left="320" w:top="482" w:right="439" w:bottom="1440" w:gutter="0" w:footer="0" w:header="0"/>
        </w:sect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Patient Access</w:t>
      </w:r>
    </w:p>
    <w:p>
      <w:pPr>
        <w:spacing w:after="0" w:line="231" w:lineRule="exact"/>
        <w:rPr>
          <w:sz w:val="20"/>
          <w:szCs w:val="20"/>
          <w:color w:val="auto"/>
        </w:rPr>
      </w:pPr>
    </w:p>
    <w:p>
      <w:pPr>
        <w:ind w:left="120" w:right="40" w:firstLine="594"/>
        <w:spacing w:after="0" w:line="231" w:lineRule="auto"/>
        <w:rPr>
          <w:sz w:val="20"/>
          <w:szCs w:val="20"/>
          <w:color w:val="auto"/>
        </w:rPr>
      </w:pPr>
      <w:r>
        <w:rPr>
          <w:rFonts w:ascii="Arial" w:cs="Arial" w:eastAsia="Arial" w:hAnsi="Arial"/>
          <w:sz w:val="20"/>
          <w:szCs w:val="20"/>
          <w:color w:val="auto"/>
        </w:rPr>
        <w:t>Our Patient Access Philosophy was created in 2017 before our first medicine was approved, as we prepared to enter the commercial stage of our journey as a company. It laid out the principles that guide our decision-making related to patients globally. We know that innovative breakthroughs in medical technology and medicines mean little if they cannot directly impact patients. Our Patient Access Philosophy calls on us to help patients, deliver value to payors and partners globally, and be proactive and accountable in our patient-driven initiatives.</w:t>
      </w:r>
    </w:p>
    <w:p>
      <w:pPr>
        <w:spacing w:after="0" w:line="200" w:lineRule="exact"/>
        <w:rPr>
          <w:sz w:val="20"/>
          <w:szCs w:val="20"/>
          <w:color w:val="auto"/>
        </w:rPr>
      </w:pPr>
    </w:p>
    <w:p>
      <w:pPr>
        <w:ind w:left="120" w:right="160" w:firstLine="594"/>
        <w:spacing w:after="0" w:line="233" w:lineRule="auto"/>
        <w:rPr>
          <w:sz w:val="20"/>
          <w:szCs w:val="20"/>
          <w:color w:val="auto"/>
        </w:rPr>
      </w:pPr>
      <w:r>
        <w:rPr>
          <w:rFonts w:ascii="Arial" w:cs="Arial" w:eastAsia="Arial" w:hAnsi="Arial"/>
          <w:sz w:val="20"/>
          <w:szCs w:val="20"/>
          <w:color w:val="auto"/>
        </w:rPr>
        <w:t>Through various patient access programs, we aim to ensure patients gain access to our commercially available therapeutics and investigational drugs for treatment outside clinical trials when no comparable or satisfactory alternative therapy options are available. In addition, we work to ensure patients can access diagnostic resources and genetic testing that might open doors to treatment. Our key programs include:</w:t>
      </w:r>
    </w:p>
    <w:p>
      <w:pPr>
        <w:spacing w:after="0" w:line="76" w:lineRule="exact"/>
        <w:rPr>
          <w:sz w:val="20"/>
          <w:szCs w:val="20"/>
          <w:color w:val="auto"/>
        </w:rPr>
      </w:pPr>
    </w:p>
    <w:p>
      <w:pPr>
        <w:ind w:left="720" w:right="40" w:hanging="296"/>
        <w:spacing w:after="0" w:line="215"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Alnylam Assist</w:t>
      </w:r>
      <w:r>
        <w:rPr>
          <w:rFonts w:ascii="Arial" w:cs="Arial" w:eastAsia="Arial" w:hAnsi="Arial"/>
          <w:sz w:val="29"/>
          <w:szCs w:val="29"/>
          <w:color w:val="auto"/>
          <w:vertAlign w:val="superscript"/>
        </w:rPr>
        <w:t>®</w:t>
      </w:r>
      <w:r>
        <w:rPr>
          <w:rFonts w:ascii="Arial" w:cs="Arial" w:eastAsia="Arial" w:hAnsi="Arial"/>
          <w:sz w:val="20"/>
          <w:szCs w:val="20"/>
          <w:color w:val="auto"/>
        </w:rPr>
        <w:t xml:space="preserve"> provides personalized services to help patients understand insurance coverage for therapy, inform them of options and eligibility for financial support, provide materials to start conversations with physicians and family members, and share information on patient advocacy organizations and other resources.</w:t>
      </w:r>
    </w:p>
    <w:p>
      <w:pPr>
        <w:spacing w:after="0" w:line="79" w:lineRule="exact"/>
        <w:rPr>
          <w:sz w:val="20"/>
          <w:szCs w:val="20"/>
          <w:color w:val="auto"/>
        </w:rPr>
      </w:pPr>
    </w:p>
    <w:p>
      <w:pPr>
        <w:ind w:left="720" w:right="440" w:hanging="296"/>
        <w:spacing w:after="0" w:line="242"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Alnylam’s Compassionate Use Policy</w:t>
      </w:r>
      <w:r>
        <w:rPr>
          <w:rFonts w:ascii="Arial" w:cs="Arial" w:eastAsia="Arial" w:hAnsi="Arial"/>
          <w:sz w:val="20"/>
          <w:szCs w:val="20"/>
          <w:color w:val="auto"/>
        </w:rPr>
        <w:t xml:space="preserve"> outlines when we will consider providing treatment for an individual patient outside a clinical trial. We evaluate all requests in a fair and equitable manner.</w:t>
      </w:r>
    </w:p>
    <w:p>
      <w:pPr>
        <w:spacing w:after="0" w:line="74" w:lineRule="exact"/>
        <w:rPr>
          <w:sz w:val="20"/>
          <w:szCs w:val="20"/>
          <w:color w:val="auto"/>
        </w:rPr>
      </w:pPr>
    </w:p>
    <w:p>
      <w:pPr>
        <w:ind w:left="720" w:right="180" w:hanging="296"/>
        <w:spacing w:after="0" w:line="21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Alnylam Act</w:t>
      </w:r>
      <w:r>
        <w:rPr>
          <w:rFonts w:ascii="Arial" w:cs="Arial" w:eastAsia="Arial" w:hAnsi="Arial"/>
          <w:sz w:val="29"/>
          <w:szCs w:val="29"/>
          <w:color w:val="auto"/>
          <w:vertAlign w:val="superscript"/>
        </w:rPr>
        <w:t>®</w:t>
      </w:r>
      <w:r>
        <w:rPr>
          <w:rFonts w:ascii="Arial" w:cs="Arial" w:eastAsia="Arial" w:hAnsi="Arial"/>
          <w:sz w:val="20"/>
          <w:szCs w:val="20"/>
          <w:color w:val="auto"/>
        </w:rPr>
        <w:t xml:space="preserve"> offers no-charge, third-party genetic testing and counseling for people with a family history or suspected diagnosis of certain genetic diseases.</w:t>
      </w:r>
    </w:p>
    <w:p>
      <w:pPr>
        <w:spacing w:after="0" w:line="75" w:lineRule="exact"/>
        <w:rPr>
          <w:sz w:val="20"/>
          <w:szCs w:val="20"/>
          <w:color w:val="auto"/>
        </w:rPr>
      </w:pPr>
    </w:p>
    <w:p>
      <w:pPr>
        <w:ind w:left="720" w:hanging="296"/>
        <w:spacing w:after="0" w:line="213"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Partnership with genetic testing</w:t>
      </w:r>
      <w:r>
        <w:rPr>
          <w:rFonts w:ascii="Arial" w:cs="Arial" w:eastAsia="Arial" w:hAnsi="Arial"/>
          <w:sz w:val="20"/>
          <w:szCs w:val="20"/>
          <w:color w:val="auto"/>
        </w:rPr>
        <w:t xml:space="preserve"> expert organizations around the world, including GeneAct</w:t>
      </w:r>
      <w:r>
        <w:rPr>
          <w:rFonts w:ascii="Arial" w:cs="Arial" w:eastAsia="Arial" w:hAnsi="Arial"/>
          <w:sz w:val="29"/>
          <w:szCs w:val="29"/>
          <w:color w:val="auto"/>
          <w:vertAlign w:val="superscript"/>
        </w:rPr>
        <w:t>™</w:t>
      </w:r>
      <w:r>
        <w:rPr>
          <w:rFonts w:ascii="Arial" w:cs="Arial" w:eastAsia="Arial" w:hAnsi="Arial"/>
          <w:sz w:val="20"/>
          <w:szCs w:val="20"/>
          <w:color w:val="auto"/>
        </w:rPr>
        <w:t>, GENILAM</w:t>
      </w:r>
      <w:r>
        <w:rPr>
          <w:rFonts w:ascii="Arial" w:cs="Arial" w:eastAsia="Arial" w:hAnsi="Arial"/>
          <w:sz w:val="29"/>
          <w:szCs w:val="29"/>
          <w:color w:val="auto"/>
          <w:vertAlign w:val="superscript"/>
        </w:rPr>
        <w:t>™</w:t>
      </w:r>
      <w:r>
        <w:rPr>
          <w:rFonts w:ascii="Arial" w:cs="Arial" w:eastAsia="Arial" w:hAnsi="Arial"/>
          <w:sz w:val="20"/>
          <w:szCs w:val="20"/>
          <w:color w:val="auto"/>
        </w:rPr>
        <w:t>, DetecTTA, TRAMmoniTTR, and others, to provide patient and physician education and spread knowledge about the resources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1906905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center"/>
        <w:ind w:right="340"/>
        <w:spacing w:after="0"/>
        <w:rPr>
          <w:sz w:val="20"/>
          <w:szCs w:val="20"/>
          <w:color w:val="auto"/>
        </w:rPr>
      </w:pPr>
      <w:r>
        <w:rPr>
          <w:rFonts w:ascii="Arial" w:cs="Arial" w:eastAsia="Arial" w:hAnsi="Arial"/>
          <w:sz w:val="25"/>
          <w:szCs w:val="25"/>
          <w:b w:val="1"/>
          <w:bCs w:val="1"/>
          <w:color w:val="1D3060"/>
        </w:rPr>
        <w:t>2023 Patient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-320675</wp:posOffset>
            </wp:positionV>
            <wp:extent cx="2400300" cy="65576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300" cy="6557645"/>
                    </a:xfrm>
                    <a:prstGeom prst="rect">
                      <a:avLst/>
                    </a:prstGeom>
                    <a:noFill/>
                  </pic:spPr>
                </pic:pic>
              </a:graphicData>
            </a:graphic>
          </wp:anchor>
        </w:drawing>
      </w:r>
    </w:p>
    <w:p>
      <w:pPr>
        <w:spacing w:after="0" w:line="16" w:lineRule="exact"/>
        <w:rPr>
          <w:sz w:val="20"/>
          <w:szCs w:val="20"/>
          <w:color w:val="auto"/>
        </w:rPr>
      </w:pPr>
    </w:p>
    <w:p>
      <w:pPr>
        <w:jc w:val="center"/>
        <w:ind w:right="340"/>
        <w:spacing w:after="0"/>
        <w:rPr>
          <w:sz w:val="20"/>
          <w:szCs w:val="20"/>
          <w:color w:val="auto"/>
        </w:rPr>
      </w:pPr>
      <w:r>
        <w:rPr>
          <w:rFonts w:ascii="Arial" w:cs="Arial" w:eastAsia="Arial" w:hAnsi="Arial"/>
          <w:sz w:val="25"/>
          <w:szCs w:val="25"/>
          <w:b w:val="1"/>
          <w:bCs w:val="1"/>
          <w:color w:val="1D3060"/>
        </w:rPr>
        <w:t>Highlights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6"/>
          <w:szCs w:val="36"/>
          <w:color w:val="1D3060"/>
        </w:rPr>
        <w:t>5,100+</w:t>
      </w:r>
    </w:p>
    <w:p>
      <w:pPr>
        <w:spacing w:after="0" w:line="96"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patients receiving our RNAi therapeutics globally</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color w:val="1D3060"/>
        </w:rPr>
        <w:t>830+</w:t>
      </w:r>
    </w:p>
    <w:p>
      <w:pPr>
        <w:spacing w:after="0" w:line="9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patients worldwide receiving our therapeutics under Compassionate Use and early access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6"/>
          <w:szCs w:val="36"/>
          <w:color w:val="1D3060"/>
        </w:rPr>
        <w:t>$0 Out-of-Pocket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costs for a majority of patients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9"/>
          <w:szCs w:val="29"/>
          <w:color w:val="1D3060"/>
        </w:rPr>
        <w:t>325+</w:t>
      </w:r>
    </w:p>
    <w:p>
      <w:pPr>
        <w:spacing w:after="0" w:line="90"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U.S. patients enrolled in commercial copay programs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color w:val="1D3060"/>
        </w:rPr>
        <w:t>55+</w:t>
      </w:r>
    </w:p>
    <w:p>
      <w:pPr>
        <w:spacing w:after="0" w:line="96" w:lineRule="exact"/>
        <w:rPr>
          <w:sz w:val="20"/>
          <w:szCs w:val="20"/>
          <w:color w:val="auto"/>
        </w:rPr>
      </w:pPr>
    </w:p>
    <w:p>
      <w:pPr>
        <w:ind w:right="1460"/>
        <w:spacing w:after="0" w:line="286" w:lineRule="auto"/>
        <w:rPr>
          <w:sz w:val="20"/>
          <w:szCs w:val="20"/>
          <w:color w:val="auto"/>
        </w:rPr>
      </w:pPr>
      <w:r>
        <w:rPr>
          <w:rFonts w:ascii="Arial" w:cs="Arial" w:eastAsia="Arial" w:hAnsi="Arial"/>
          <w:sz w:val="16"/>
          <w:szCs w:val="16"/>
          <w:color w:val="auto"/>
        </w:rPr>
        <w:t>Value-Based Agreements with U.S. payors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6"/>
          <w:szCs w:val="36"/>
          <w:color w:val="1D3060"/>
        </w:rPr>
        <w:t>1600+</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U.S. patients enrolled in Alnylam Assist</w:t>
      </w:r>
      <w:r>
        <w:rPr>
          <w:rFonts w:ascii="Arial" w:cs="Arial" w:eastAsia="Arial" w:hAnsi="Arial"/>
          <w:sz w:val="24"/>
          <w:szCs w:val="24"/>
          <w:color w:val="auto"/>
          <w:vertAlign w:val="superscript"/>
        </w:rPr>
        <w: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36"/>
          <w:szCs w:val="36"/>
          <w:color w:val="1D3060"/>
        </w:rPr>
        <w:t>4.9</w:t>
      </w:r>
    </w:p>
    <w:p>
      <w:pPr>
        <w:spacing w:after="0" w:line="44" w:lineRule="exact"/>
        <w:rPr>
          <w:sz w:val="20"/>
          <w:szCs w:val="20"/>
          <w:color w:val="auto"/>
        </w:rPr>
      </w:pPr>
    </w:p>
    <w:p>
      <w:pPr>
        <w:ind w:right="540"/>
        <w:spacing w:after="0" w:line="265" w:lineRule="auto"/>
        <w:rPr>
          <w:sz w:val="20"/>
          <w:szCs w:val="20"/>
          <w:color w:val="auto"/>
        </w:rPr>
      </w:pPr>
      <w:r>
        <w:rPr>
          <w:rFonts w:ascii="Arial" w:cs="Arial" w:eastAsia="Arial" w:hAnsi="Arial"/>
          <w:sz w:val="16"/>
          <w:szCs w:val="16"/>
          <w:color w:val="auto"/>
        </w:rPr>
        <w:t>on a 5.0 scale in overall patient satisfaction surveys</w:t>
      </w:r>
    </w:p>
    <w:p>
      <w:pPr>
        <w:spacing w:after="0" w:line="200" w:lineRule="exact"/>
        <w:rPr>
          <w:sz w:val="20"/>
          <w:szCs w:val="20"/>
          <w:color w:val="auto"/>
        </w:rPr>
      </w:pPr>
    </w:p>
    <w:p>
      <w:pPr>
        <w:sectPr>
          <w:pgSz w:w="11900" w:h="16838" w:orient="portrait"/>
          <w:cols w:equalWidth="0" w:num="2">
            <w:col w:w="7340" w:space="180"/>
            <w:col w:w="3620"/>
          </w:cols>
          <w:pgMar w:left="320" w:top="482" w:right="439" w:bottom="1440" w:gutter="0" w:footer="0" w:header="0"/>
          <w:type w:val="continuous"/>
        </w:sectPr>
      </w:pPr>
    </w:p>
    <w:p>
      <w:pPr>
        <w:spacing w:after="0" w:line="102" w:lineRule="exact"/>
        <w:rPr>
          <w:sz w:val="20"/>
          <w:szCs w:val="20"/>
          <w:color w:val="auto"/>
        </w:rPr>
      </w:pPr>
    </w:p>
    <w:p>
      <w:pPr>
        <w:ind w:left="10460"/>
        <w:spacing w:after="0"/>
        <w:rPr>
          <w:sz w:val="20"/>
          <w:szCs w:val="20"/>
          <w:color w:val="auto"/>
        </w:rPr>
      </w:pPr>
      <w:r>
        <w:rPr>
          <w:rFonts w:ascii="Arial" w:cs="Arial" w:eastAsia="Arial" w:hAnsi="Arial"/>
          <w:sz w:val="17"/>
          <w:szCs w:val="17"/>
          <w:b w:val="1"/>
          <w:bCs w:val="1"/>
          <w:color w:val="6AA0D4"/>
        </w:rPr>
        <w:t>Page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Diversity, Equity and Inclusion</w:t>
      </w:r>
    </w:p>
    <w:p>
      <w:pPr>
        <w:spacing w:after="0" w:line="204" w:lineRule="exact"/>
        <w:rPr>
          <w:sz w:val="20"/>
          <w:szCs w:val="20"/>
          <w:color w:val="auto"/>
        </w:rPr>
      </w:pPr>
    </w:p>
    <w:p>
      <w:pPr>
        <w:jc w:val="both"/>
        <w:ind w:left="120" w:right="40" w:firstLine="771"/>
        <w:spacing w:after="0" w:line="241" w:lineRule="auto"/>
        <w:rPr>
          <w:sz w:val="20"/>
          <w:szCs w:val="20"/>
          <w:color w:val="auto"/>
        </w:rPr>
      </w:pPr>
      <w:r>
        <w:rPr>
          <w:rFonts w:ascii="Arial" w:cs="Arial" w:eastAsia="Arial" w:hAnsi="Arial"/>
          <w:sz w:val="20"/>
          <w:szCs w:val="20"/>
          <w:color w:val="auto"/>
        </w:rPr>
        <w:t>We remain committed to creating a diverse, equitable, and inclusive workforce where our team feels they belong and where they are empowered to achieve their full potential. The mission and vision of Diversity, Equity and Inclusion, or DE&amp;I, is present in every business unit and a foundational part of our responsibility as a company.</w:t>
      </w:r>
    </w:p>
    <w:p>
      <w:pPr>
        <w:spacing w:after="0" w:line="171" w:lineRule="exact"/>
        <w:rPr>
          <w:sz w:val="20"/>
          <w:szCs w:val="20"/>
          <w:color w:val="auto"/>
        </w:rPr>
      </w:pPr>
    </w:p>
    <w:p>
      <w:pPr>
        <w:ind w:left="120" w:right="160" w:firstLine="771"/>
        <w:spacing w:after="0" w:line="237" w:lineRule="auto"/>
        <w:rPr>
          <w:sz w:val="20"/>
          <w:szCs w:val="20"/>
          <w:color w:val="auto"/>
        </w:rPr>
      </w:pPr>
      <w:r>
        <w:rPr>
          <w:rFonts w:ascii="Arial" w:cs="Arial" w:eastAsia="Arial" w:hAnsi="Arial"/>
          <w:sz w:val="20"/>
          <w:szCs w:val="20"/>
          <w:color w:val="auto"/>
        </w:rPr>
        <w:t>In 2023, our cross-functional DEI teams continued work aligned with our Action Plan for DE&amp;I. This plan is centered on five key areas of focus, four internal and one external: employee education and development, talent acquisition and management, workplace policies, employee engagement, and patient and community engagement. Our Chief DE&amp;I Officer and her team lead this work, collaborating across the company.</w:t>
      </w:r>
    </w:p>
    <w:p>
      <w:pPr>
        <w:sectPr>
          <w:pgSz w:w="11900" w:h="16838" w:orient="portrait"/>
          <w:cols w:equalWidth="0" w:num="1">
            <w:col w:w="11140"/>
          </w:cols>
          <w:pgMar w:left="320" w:top="482" w:right="439" w:bottom="1440" w:gutter="0" w:footer="0" w:header="0"/>
        </w:sect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In 2023, we:</w:t>
      </w:r>
    </w:p>
    <w:p>
      <w:pPr>
        <w:spacing w:after="0" w:line="229" w:lineRule="exact"/>
        <w:rPr>
          <w:sz w:val="20"/>
          <w:szCs w:val="20"/>
          <w:color w:val="auto"/>
        </w:rPr>
      </w:pPr>
    </w:p>
    <w:p>
      <w:pPr>
        <w:ind w:left="1080" w:right="20" w:hanging="370"/>
        <w:spacing w:after="0" w:line="241" w:lineRule="auto"/>
        <w:tabs>
          <w:tab w:leader="none" w:pos="108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Exceeded our goal of increasing the number of Black or African American and Hispanic or Latino individuals in our U.S. employee base by 20% year-over-year;</w:t>
      </w:r>
    </w:p>
    <w:p>
      <w:pPr>
        <w:spacing w:after="0" w:line="76" w:lineRule="exact"/>
        <w:rPr>
          <w:rFonts w:ascii="Arial" w:cs="Arial" w:eastAsia="Arial" w:hAnsi="Arial"/>
          <w:sz w:val="20"/>
          <w:szCs w:val="20"/>
          <w:color w:val="auto"/>
        </w:rPr>
      </w:pPr>
    </w:p>
    <w:p>
      <w:pPr>
        <w:ind w:left="1080" w:right="80" w:hanging="370"/>
        <w:spacing w:after="0" w:line="237" w:lineRule="auto"/>
        <w:tabs>
          <w:tab w:leader="none" w:pos="1080" w:val="left"/>
        </w:tabs>
        <w:numPr>
          <w:ilvl w:val="0"/>
          <w:numId w:val="6"/>
        </w:numPr>
        <w:rPr>
          <w:rFonts w:ascii="Arial" w:cs="Arial" w:eastAsia="Arial" w:hAnsi="Arial"/>
          <w:sz w:val="20"/>
          <w:szCs w:val="20"/>
          <w:color w:val="auto"/>
        </w:rPr>
      </w:pPr>
      <w:r>
        <w:rPr>
          <w:rFonts w:ascii="Arial" w:cs="Arial" w:eastAsia="Arial" w:hAnsi="Arial"/>
          <w:sz w:val="20"/>
          <w:szCs w:val="20"/>
          <w:color w:val="auto"/>
        </w:rPr>
        <w:t>Grew senior leadership team from 32% female in 2022 to 38% female in 2023; also grew hiring of women across the organization from 55% female hires in 2022 to 60% female hires in 2023;</w:t>
      </w:r>
    </w:p>
    <w:p>
      <w:pPr>
        <w:spacing w:after="0" w:line="77" w:lineRule="exact"/>
        <w:rPr>
          <w:rFonts w:ascii="Arial" w:cs="Arial" w:eastAsia="Arial" w:hAnsi="Arial"/>
          <w:sz w:val="20"/>
          <w:szCs w:val="20"/>
          <w:color w:val="auto"/>
        </w:rPr>
      </w:pPr>
    </w:p>
    <w:p>
      <w:pPr>
        <w:ind w:left="1080" w:right="20" w:hanging="370"/>
        <w:spacing w:after="0" w:line="232" w:lineRule="auto"/>
        <w:tabs>
          <w:tab w:leader="none" w:pos="108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Continued our efforts with our Supplier Diversity Program and achieved our goal to increase spending with diverse suppliers by more than 5% in 2023. We are also actively working to increase our spending with Veteran and Service-Disabled Veteran-Owned Enterprises by joining Veterans in Business Network and engaging their network nationally; and</w:t>
      </w:r>
    </w:p>
    <w:p>
      <w:pPr>
        <w:spacing w:after="0" w:line="77" w:lineRule="exact"/>
        <w:rPr>
          <w:rFonts w:ascii="Arial" w:cs="Arial" w:eastAsia="Arial" w:hAnsi="Arial"/>
          <w:sz w:val="20"/>
          <w:szCs w:val="20"/>
          <w:color w:val="auto"/>
        </w:rPr>
      </w:pPr>
    </w:p>
    <w:p>
      <w:pPr>
        <w:ind w:left="1080" w:hanging="370"/>
        <w:spacing w:after="0" w:line="284" w:lineRule="auto"/>
        <w:tabs>
          <w:tab w:leader="none" w:pos="1080" w:val="left"/>
        </w:tabs>
        <w:numPr>
          <w:ilvl w:val="0"/>
          <w:numId w:val="6"/>
        </w:numPr>
        <w:rPr>
          <w:rFonts w:ascii="Arial" w:cs="Arial" w:eastAsia="Arial" w:hAnsi="Arial"/>
          <w:sz w:val="19"/>
          <w:szCs w:val="19"/>
          <w:color w:val="auto"/>
        </w:rPr>
      </w:pPr>
      <w:r>
        <w:rPr>
          <w:rFonts w:ascii="Arial" w:cs="Arial" w:eastAsia="Arial" w:hAnsi="Arial"/>
          <w:sz w:val="19"/>
          <w:szCs w:val="19"/>
          <w:color w:val="auto"/>
        </w:rPr>
        <w:t>Awarded #1 on Boston Globe’s “Top Places to Work” in the ‘Largest Employer’ category for the third year in a 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2094230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1D3060"/>
        </w:rPr>
        <w:t>Global Employee Snapshot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-304165</wp:posOffset>
            </wp:positionV>
            <wp:extent cx="2944495" cy="46672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44495" cy="466725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20"/>
          <w:szCs w:val="20"/>
          <w:b w:val="1"/>
          <w:bCs w:val="1"/>
          <w:color w:val="1D3060"/>
        </w:rPr>
        <w:t>December 31, 2023*</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Alnylam Employees</w:t>
      </w:r>
    </w:p>
    <w:p>
      <w:pPr>
        <w:spacing w:after="0" w:line="68" w:lineRule="exact"/>
        <w:rPr>
          <w:sz w:val="20"/>
          <w:szCs w:val="20"/>
          <w:color w:val="auto"/>
        </w:rPr>
      </w:pPr>
    </w:p>
    <w:tbl>
      <w:tblPr>
        <w:tblLayout w:type="fixed"/>
        <w:tblInd w:w="200" w:type="dxa"/>
        <w:tblCellMar>
          <w:top w:w="0" w:type="dxa"/>
          <w:left w:w="0" w:type="dxa"/>
          <w:bottom w:w="0" w:type="dxa"/>
          <w:right w:w="0" w:type="dxa"/>
        </w:tblCellMar>
      </w:tblPr>
      <w:tr>
        <w:trPr>
          <w:trHeight w:val="270"/>
        </w:trPr>
        <w:tc>
          <w:tcPr>
            <w:tcW w:w="3220" w:type="dxa"/>
            <w:vAlign w:val="bottom"/>
            <w:shd w:val="clear" w:color="auto" w:fill="B4CFE9"/>
          </w:tcPr>
          <w:p>
            <w:pPr>
              <w:spacing w:after="0"/>
              <w:rPr>
                <w:sz w:val="20"/>
                <w:szCs w:val="20"/>
                <w:color w:val="auto"/>
              </w:rPr>
            </w:pPr>
            <w:r>
              <w:rPr>
                <w:rFonts w:ascii="Arial" w:cs="Arial" w:eastAsia="Arial" w:hAnsi="Arial"/>
                <w:sz w:val="16"/>
                <w:szCs w:val="16"/>
                <w:color w:val="auto"/>
              </w:rPr>
              <w:t>  Total employees</w:t>
            </w:r>
          </w:p>
        </w:tc>
        <w:tc>
          <w:tcPr>
            <w:tcW w:w="900" w:type="dxa"/>
            <w:vAlign w:val="bottom"/>
            <w:gridSpan w:val="2"/>
            <w:shd w:val="clear" w:color="auto" w:fill="B4CFE9"/>
          </w:tcPr>
          <w:p>
            <w:pPr>
              <w:jc w:val="center"/>
              <w:ind w:left="219"/>
              <w:spacing w:after="0"/>
              <w:rPr>
                <w:sz w:val="20"/>
                <w:szCs w:val="20"/>
                <w:color w:val="auto"/>
              </w:rPr>
            </w:pPr>
            <w:r>
              <w:rPr>
                <w:rFonts w:ascii="Arial" w:cs="Arial" w:eastAsia="Arial" w:hAnsi="Arial"/>
                <w:sz w:val="16"/>
                <w:szCs w:val="16"/>
                <w:color w:val="auto"/>
                <w:w w:val="99"/>
              </w:rPr>
              <w:t>2,103</w:t>
            </w:r>
          </w:p>
        </w:tc>
        <w:tc>
          <w:tcPr>
            <w:tcW w:w="0" w:type="dxa"/>
            <w:vAlign w:val="bottom"/>
          </w:tcPr>
          <w:p>
            <w:pPr>
              <w:spacing w:after="0"/>
              <w:rPr>
                <w:sz w:val="1"/>
                <w:szCs w:val="1"/>
                <w:color w:val="auto"/>
              </w:rPr>
            </w:pPr>
          </w:p>
        </w:tc>
      </w:tr>
      <w:tr>
        <w:trPr>
          <w:trHeight w:val="262"/>
        </w:trPr>
        <w:tc>
          <w:tcPr>
            <w:tcW w:w="3220" w:type="dxa"/>
            <w:vAlign w:val="bottom"/>
            <w:shd w:val="clear" w:color="auto" w:fill="D7E8F5"/>
          </w:tcPr>
          <w:p>
            <w:pPr>
              <w:spacing w:after="0"/>
              <w:rPr>
                <w:sz w:val="20"/>
                <w:szCs w:val="20"/>
                <w:color w:val="auto"/>
              </w:rPr>
            </w:pPr>
            <w:r>
              <w:rPr>
                <w:rFonts w:ascii="Arial" w:cs="Arial" w:eastAsia="Arial" w:hAnsi="Arial"/>
                <w:sz w:val="16"/>
                <w:szCs w:val="16"/>
                <w:color w:val="auto"/>
              </w:rPr>
              <w:t>  Total U.S. employees</w:t>
            </w:r>
          </w:p>
        </w:tc>
        <w:tc>
          <w:tcPr>
            <w:tcW w:w="900" w:type="dxa"/>
            <w:vAlign w:val="bottom"/>
            <w:gridSpan w:val="2"/>
            <w:shd w:val="clear" w:color="auto" w:fill="D7E8F5"/>
          </w:tcPr>
          <w:p>
            <w:pPr>
              <w:jc w:val="center"/>
              <w:ind w:left="219"/>
              <w:spacing w:after="0"/>
              <w:rPr>
                <w:sz w:val="20"/>
                <w:szCs w:val="20"/>
                <w:color w:val="auto"/>
              </w:rPr>
            </w:pPr>
            <w:r>
              <w:rPr>
                <w:rFonts w:ascii="Arial" w:cs="Arial" w:eastAsia="Arial" w:hAnsi="Arial"/>
                <w:sz w:val="16"/>
                <w:szCs w:val="16"/>
                <w:color w:val="auto"/>
                <w:w w:val="99"/>
              </w:rPr>
              <w:t>1,646</w:t>
            </w:r>
          </w:p>
        </w:tc>
        <w:tc>
          <w:tcPr>
            <w:tcW w:w="0" w:type="dxa"/>
            <w:vAlign w:val="bottom"/>
          </w:tcPr>
          <w:p>
            <w:pPr>
              <w:spacing w:after="0"/>
              <w:rPr>
                <w:sz w:val="1"/>
                <w:szCs w:val="1"/>
                <w:color w:val="auto"/>
              </w:rPr>
            </w:pPr>
          </w:p>
        </w:tc>
      </w:tr>
      <w:tr>
        <w:trPr>
          <w:trHeight w:val="291"/>
        </w:trPr>
        <w:tc>
          <w:tcPr>
            <w:tcW w:w="3220" w:type="dxa"/>
            <w:vAlign w:val="bottom"/>
            <w:shd w:val="clear" w:color="auto" w:fill="1D3060"/>
          </w:tcPr>
          <w:p>
            <w:pPr>
              <w:spacing w:after="0"/>
              <w:rPr>
                <w:sz w:val="20"/>
                <w:szCs w:val="20"/>
                <w:color w:val="auto"/>
              </w:rPr>
            </w:pPr>
            <w:r>
              <w:rPr>
                <w:rFonts w:ascii="Arial" w:cs="Arial" w:eastAsia="Arial" w:hAnsi="Arial"/>
                <w:sz w:val="18"/>
                <w:szCs w:val="18"/>
                <w:b w:val="1"/>
                <w:bCs w:val="1"/>
                <w:color w:val="auto"/>
              </w:rPr>
              <w:t>  Global Gender Diversity</w:t>
            </w:r>
          </w:p>
        </w:tc>
        <w:tc>
          <w:tcPr>
            <w:tcW w:w="280" w:type="dxa"/>
            <w:vAlign w:val="bottom"/>
            <w:shd w:val="clear" w:color="auto" w:fill="1D3060"/>
          </w:tcPr>
          <w:p>
            <w:pPr>
              <w:spacing w:after="0"/>
              <w:rPr>
                <w:sz w:val="24"/>
                <w:szCs w:val="24"/>
                <w:color w:val="auto"/>
              </w:rPr>
            </w:pPr>
          </w:p>
        </w:tc>
        <w:tc>
          <w:tcPr>
            <w:tcW w:w="620" w:type="dxa"/>
            <w:vAlign w:val="bottom"/>
            <w:shd w:val="clear" w:color="auto" w:fill="1D3060"/>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20" w:type="dxa"/>
            <w:vAlign w:val="bottom"/>
            <w:shd w:val="clear" w:color="auto" w:fill="B4CFE9"/>
          </w:tcPr>
          <w:p>
            <w:pPr>
              <w:spacing w:after="0"/>
              <w:rPr>
                <w:sz w:val="20"/>
                <w:szCs w:val="20"/>
                <w:color w:val="auto"/>
              </w:rPr>
            </w:pPr>
            <w:r>
              <w:rPr>
                <w:rFonts w:ascii="Arial" w:cs="Arial" w:eastAsia="Arial" w:hAnsi="Arial"/>
                <w:sz w:val="16"/>
                <w:szCs w:val="16"/>
                <w:color w:val="auto"/>
              </w:rPr>
              <w:t>  Female</w:t>
            </w:r>
          </w:p>
        </w:tc>
        <w:tc>
          <w:tcPr>
            <w:tcW w:w="900" w:type="dxa"/>
            <w:vAlign w:val="bottom"/>
            <w:gridSpan w:val="2"/>
            <w:shd w:val="clear" w:color="auto" w:fill="B4CFE9"/>
          </w:tcPr>
          <w:p>
            <w:pPr>
              <w:jc w:val="center"/>
              <w:ind w:left="219"/>
              <w:spacing w:after="0"/>
              <w:rPr>
                <w:sz w:val="20"/>
                <w:szCs w:val="20"/>
                <w:color w:val="auto"/>
              </w:rPr>
            </w:pPr>
            <w:r>
              <w:rPr>
                <w:rFonts w:ascii="Arial" w:cs="Arial" w:eastAsia="Arial" w:hAnsi="Arial"/>
                <w:sz w:val="16"/>
                <w:szCs w:val="16"/>
                <w:color w:val="auto"/>
                <w:w w:val="99"/>
              </w:rPr>
              <w:t>54%</w:t>
            </w:r>
          </w:p>
        </w:tc>
        <w:tc>
          <w:tcPr>
            <w:tcW w:w="0" w:type="dxa"/>
            <w:vAlign w:val="bottom"/>
          </w:tcPr>
          <w:p>
            <w:pPr>
              <w:spacing w:after="0"/>
              <w:rPr>
                <w:sz w:val="1"/>
                <w:szCs w:val="1"/>
                <w:color w:val="auto"/>
              </w:rPr>
            </w:pPr>
          </w:p>
        </w:tc>
      </w:tr>
      <w:tr>
        <w:trPr>
          <w:trHeight w:val="262"/>
        </w:trPr>
        <w:tc>
          <w:tcPr>
            <w:tcW w:w="3220" w:type="dxa"/>
            <w:vAlign w:val="bottom"/>
            <w:shd w:val="clear" w:color="auto" w:fill="D7E8F5"/>
          </w:tcPr>
          <w:p>
            <w:pPr>
              <w:spacing w:after="0"/>
              <w:rPr>
                <w:sz w:val="20"/>
                <w:szCs w:val="20"/>
                <w:color w:val="auto"/>
              </w:rPr>
            </w:pPr>
            <w:r>
              <w:rPr>
                <w:rFonts w:ascii="Arial" w:cs="Arial" w:eastAsia="Arial" w:hAnsi="Arial"/>
                <w:sz w:val="16"/>
                <w:szCs w:val="16"/>
                <w:color w:val="auto"/>
              </w:rPr>
              <w:t>  Male</w:t>
            </w:r>
          </w:p>
        </w:tc>
        <w:tc>
          <w:tcPr>
            <w:tcW w:w="900" w:type="dxa"/>
            <w:vAlign w:val="bottom"/>
            <w:gridSpan w:val="2"/>
            <w:shd w:val="clear" w:color="auto" w:fill="D7E8F5"/>
          </w:tcPr>
          <w:p>
            <w:pPr>
              <w:jc w:val="center"/>
              <w:ind w:left="219"/>
              <w:spacing w:after="0"/>
              <w:rPr>
                <w:sz w:val="20"/>
                <w:szCs w:val="20"/>
                <w:color w:val="auto"/>
              </w:rPr>
            </w:pPr>
            <w:r>
              <w:rPr>
                <w:rFonts w:ascii="Arial" w:cs="Arial" w:eastAsia="Arial" w:hAnsi="Arial"/>
                <w:sz w:val="16"/>
                <w:szCs w:val="16"/>
                <w:color w:val="auto"/>
                <w:w w:val="99"/>
              </w:rPr>
              <w:t>46%</w:t>
            </w:r>
          </w:p>
        </w:tc>
        <w:tc>
          <w:tcPr>
            <w:tcW w:w="0" w:type="dxa"/>
            <w:vAlign w:val="bottom"/>
          </w:tcPr>
          <w:p>
            <w:pPr>
              <w:spacing w:after="0"/>
              <w:rPr>
                <w:sz w:val="1"/>
                <w:szCs w:val="1"/>
                <w:color w:val="auto"/>
              </w:rPr>
            </w:pPr>
          </w:p>
        </w:tc>
      </w:tr>
      <w:tr>
        <w:trPr>
          <w:trHeight w:val="291"/>
        </w:trPr>
        <w:tc>
          <w:tcPr>
            <w:tcW w:w="3220" w:type="dxa"/>
            <w:vAlign w:val="bottom"/>
            <w:shd w:val="clear" w:color="auto" w:fill="1D3060"/>
          </w:tcPr>
          <w:p>
            <w:pPr>
              <w:spacing w:after="0"/>
              <w:rPr>
                <w:sz w:val="20"/>
                <w:szCs w:val="20"/>
                <w:color w:val="auto"/>
              </w:rPr>
            </w:pPr>
            <w:r>
              <w:rPr>
                <w:rFonts w:ascii="Arial" w:cs="Arial" w:eastAsia="Arial" w:hAnsi="Arial"/>
                <w:sz w:val="18"/>
                <w:szCs w:val="18"/>
                <w:b w:val="1"/>
                <w:bCs w:val="1"/>
                <w:color w:val="auto"/>
              </w:rPr>
              <w:t>  Racial Diversity of U.S. Workforce**</w:t>
            </w:r>
          </w:p>
        </w:tc>
        <w:tc>
          <w:tcPr>
            <w:tcW w:w="280" w:type="dxa"/>
            <w:vAlign w:val="bottom"/>
            <w:shd w:val="clear" w:color="auto" w:fill="1D3060"/>
          </w:tcPr>
          <w:p>
            <w:pPr>
              <w:spacing w:after="0"/>
              <w:rPr>
                <w:sz w:val="24"/>
                <w:szCs w:val="24"/>
                <w:color w:val="auto"/>
              </w:rPr>
            </w:pPr>
          </w:p>
        </w:tc>
        <w:tc>
          <w:tcPr>
            <w:tcW w:w="620" w:type="dxa"/>
            <w:vAlign w:val="bottom"/>
            <w:shd w:val="clear" w:color="auto" w:fill="1D3060"/>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B4CFE9"/>
          </w:tcPr>
          <w:p>
            <w:pPr>
              <w:spacing w:after="0"/>
              <w:rPr>
                <w:sz w:val="20"/>
                <w:szCs w:val="20"/>
                <w:color w:val="auto"/>
              </w:rPr>
            </w:pPr>
            <w:r>
              <w:rPr>
                <w:rFonts w:ascii="Arial" w:cs="Arial" w:eastAsia="Arial" w:hAnsi="Arial"/>
                <w:sz w:val="16"/>
                <w:szCs w:val="16"/>
                <w:color w:val="auto"/>
              </w:rPr>
              <w:t>  American Indian or Alaska</w:t>
            </w:r>
          </w:p>
        </w:tc>
        <w:tc>
          <w:tcPr>
            <w:tcW w:w="280" w:type="dxa"/>
            <w:vAlign w:val="bottom"/>
            <w:shd w:val="clear" w:color="auto" w:fill="B4CFE9"/>
          </w:tcPr>
          <w:p>
            <w:pPr>
              <w:spacing w:after="0"/>
              <w:rPr>
                <w:sz w:val="19"/>
                <w:szCs w:val="19"/>
                <w:color w:val="auto"/>
              </w:rPr>
            </w:pPr>
          </w:p>
        </w:tc>
        <w:tc>
          <w:tcPr>
            <w:tcW w:w="620" w:type="dxa"/>
            <w:vAlign w:val="bottom"/>
            <w:vMerge w:val="restart"/>
            <w:shd w:val="clear" w:color="auto" w:fill="B4CFE9"/>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0"/>
        </w:trPr>
        <w:tc>
          <w:tcPr>
            <w:tcW w:w="3220" w:type="dxa"/>
            <w:vAlign w:val="bottom"/>
            <w:vMerge w:val="restart"/>
            <w:shd w:val="clear" w:color="auto" w:fill="B4CFE9"/>
          </w:tcPr>
          <w:p>
            <w:pPr>
              <w:spacing w:after="0"/>
              <w:rPr>
                <w:sz w:val="20"/>
                <w:szCs w:val="20"/>
                <w:color w:val="auto"/>
              </w:rPr>
            </w:pPr>
            <w:r>
              <w:rPr>
                <w:rFonts w:ascii="Arial" w:cs="Arial" w:eastAsia="Arial" w:hAnsi="Arial"/>
                <w:sz w:val="16"/>
                <w:szCs w:val="16"/>
                <w:color w:val="auto"/>
              </w:rPr>
              <w:t>  Native or Pacific Islander</w:t>
            </w:r>
          </w:p>
        </w:tc>
        <w:tc>
          <w:tcPr>
            <w:tcW w:w="280" w:type="dxa"/>
            <w:vAlign w:val="bottom"/>
            <w:shd w:val="clear" w:color="auto" w:fill="B4CFE9"/>
          </w:tcPr>
          <w:p>
            <w:pPr>
              <w:spacing w:after="0"/>
              <w:rPr>
                <w:sz w:val="10"/>
                <w:szCs w:val="10"/>
                <w:color w:val="auto"/>
              </w:rPr>
            </w:pPr>
          </w:p>
        </w:tc>
        <w:tc>
          <w:tcPr>
            <w:tcW w:w="620" w:type="dxa"/>
            <w:vAlign w:val="bottom"/>
            <w:vMerge w:val="continue"/>
            <w:shd w:val="clear" w:color="auto" w:fill="B4CFE9"/>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220" w:type="dxa"/>
            <w:vAlign w:val="bottom"/>
            <w:tcBorders>
              <w:bottom w:val="single" w:sz="8" w:color="B4CFE9"/>
            </w:tcBorders>
            <w:vMerge w:val="continue"/>
            <w:shd w:val="clear" w:color="auto" w:fill="B4CFE9"/>
          </w:tcPr>
          <w:p>
            <w:pPr>
              <w:spacing w:after="0"/>
              <w:rPr>
                <w:sz w:val="9"/>
                <w:szCs w:val="9"/>
                <w:color w:val="auto"/>
              </w:rPr>
            </w:pPr>
          </w:p>
        </w:tc>
        <w:tc>
          <w:tcPr>
            <w:tcW w:w="280" w:type="dxa"/>
            <w:vAlign w:val="bottom"/>
            <w:tcBorders>
              <w:bottom w:val="single" w:sz="8" w:color="B4CFE9"/>
            </w:tcBorders>
            <w:shd w:val="clear" w:color="auto" w:fill="B4CFE9"/>
          </w:tcPr>
          <w:p>
            <w:pPr>
              <w:spacing w:after="0"/>
              <w:rPr>
                <w:sz w:val="9"/>
                <w:szCs w:val="9"/>
                <w:color w:val="auto"/>
              </w:rPr>
            </w:pPr>
          </w:p>
        </w:tc>
        <w:tc>
          <w:tcPr>
            <w:tcW w:w="620" w:type="dxa"/>
            <w:vAlign w:val="bottom"/>
            <w:tcBorders>
              <w:bottom w:val="single" w:sz="8" w:color="B4CFE9"/>
            </w:tcBorders>
            <w:shd w:val="clear" w:color="auto" w:fill="B4CFE9"/>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220" w:type="dxa"/>
            <w:vAlign w:val="bottom"/>
            <w:shd w:val="clear" w:color="auto" w:fill="D7E8F5"/>
          </w:tcPr>
          <w:p>
            <w:pPr>
              <w:spacing w:after="0"/>
              <w:rPr>
                <w:sz w:val="20"/>
                <w:szCs w:val="20"/>
                <w:color w:val="auto"/>
              </w:rPr>
            </w:pPr>
            <w:r>
              <w:rPr>
                <w:rFonts w:ascii="Arial" w:cs="Arial" w:eastAsia="Arial" w:hAnsi="Arial"/>
                <w:sz w:val="16"/>
                <w:szCs w:val="16"/>
                <w:color w:val="auto"/>
              </w:rPr>
              <w:t>  Asian</w:t>
            </w:r>
          </w:p>
        </w:tc>
        <w:tc>
          <w:tcPr>
            <w:tcW w:w="900" w:type="dxa"/>
            <w:vAlign w:val="bottom"/>
            <w:gridSpan w:val="2"/>
            <w:shd w:val="clear" w:color="auto" w:fill="D7E8F5"/>
          </w:tcPr>
          <w:p>
            <w:pPr>
              <w:jc w:val="center"/>
              <w:ind w:left="259"/>
              <w:spacing w:after="0"/>
              <w:rPr>
                <w:sz w:val="20"/>
                <w:szCs w:val="20"/>
                <w:color w:val="auto"/>
              </w:rPr>
            </w:pPr>
            <w:r>
              <w:rPr>
                <w:rFonts w:ascii="Arial" w:cs="Arial" w:eastAsia="Arial" w:hAnsi="Arial"/>
                <w:sz w:val="16"/>
                <w:szCs w:val="16"/>
                <w:color w:val="auto"/>
                <w:w w:val="99"/>
              </w:rPr>
              <w:t>23%</w:t>
            </w:r>
          </w:p>
        </w:tc>
        <w:tc>
          <w:tcPr>
            <w:tcW w:w="0" w:type="dxa"/>
            <w:vAlign w:val="bottom"/>
          </w:tcPr>
          <w:p>
            <w:pPr>
              <w:spacing w:after="0"/>
              <w:rPr>
                <w:sz w:val="1"/>
                <w:szCs w:val="1"/>
                <w:color w:val="auto"/>
              </w:rPr>
            </w:pPr>
          </w:p>
        </w:tc>
      </w:tr>
      <w:tr>
        <w:trPr>
          <w:trHeight w:val="278"/>
        </w:trPr>
        <w:tc>
          <w:tcPr>
            <w:tcW w:w="3220" w:type="dxa"/>
            <w:vAlign w:val="bottom"/>
            <w:shd w:val="clear" w:color="auto" w:fill="B4CFE9"/>
          </w:tcPr>
          <w:p>
            <w:pPr>
              <w:spacing w:after="0"/>
              <w:rPr>
                <w:sz w:val="20"/>
                <w:szCs w:val="20"/>
                <w:color w:val="auto"/>
              </w:rPr>
            </w:pPr>
            <w:r>
              <w:rPr>
                <w:rFonts w:ascii="Arial" w:cs="Arial" w:eastAsia="Arial" w:hAnsi="Arial"/>
                <w:sz w:val="16"/>
                <w:szCs w:val="16"/>
                <w:color w:val="auto"/>
              </w:rPr>
              <w:t>  Black or African American</w:t>
            </w:r>
          </w:p>
        </w:tc>
        <w:tc>
          <w:tcPr>
            <w:tcW w:w="280" w:type="dxa"/>
            <w:vAlign w:val="bottom"/>
            <w:shd w:val="clear" w:color="auto" w:fill="B4CFE9"/>
          </w:tcPr>
          <w:p>
            <w:pPr>
              <w:spacing w:after="0"/>
              <w:rPr>
                <w:sz w:val="24"/>
                <w:szCs w:val="24"/>
                <w:color w:val="auto"/>
              </w:rPr>
            </w:pPr>
          </w:p>
        </w:tc>
        <w:tc>
          <w:tcPr>
            <w:tcW w:w="620" w:type="dxa"/>
            <w:vAlign w:val="bottom"/>
            <w:shd w:val="clear" w:color="auto" w:fill="B4CFE9"/>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2"/>
        </w:trPr>
        <w:tc>
          <w:tcPr>
            <w:tcW w:w="3220" w:type="dxa"/>
            <w:vAlign w:val="bottom"/>
            <w:shd w:val="clear" w:color="auto" w:fill="D7E8F5"/>
          </w:tcPr>
          <w:p>
            <w:pPr>
              <w:spacing w:after="0"/>
              <w:rPr>
                <w:sz w:val="20"/>
                <w:szCs w:val="20"/>
                <w:color w:val="auto"/>
              </w:rPr>
            </w:pPr>
            <w:r>
              <w:rPr>
                <w:rFonts w:ascii="Arial" w:cs="Arial" w:eastAsia="Arial" w:hAnsi="Arial"/>
                <w:sz w:val="16"/>
                <w:szCs w:val="16"/>
                <w:color w:val="auto"/>
              </w:rPr>
              <w:t>  Hispanic or Latino</w:t>
            </w:r>
          </w:p>
        </w:tc>
        <w:tc>
          <w:tcPr>
            <w:tcW w:w="280" w:type="dxa"/>
            <w:vAlign w:val="bottom"/>
            <w:shd w:val="clear" w:color="auto" w:fill="D7E8F5"/>
          </w:tcPr>
          <w:p>
            <w:pPr>
              <w:spacing w:after="0"/>
              <w:rPr>
                <w:sz w:val="22"/>
                <w:szCs w:val="22"/>
                <w:color w:val="auto"/>
              </w:rPr>
            </w:pPr>
          </w:p>
        </w:tc>
        <w:tc>
          <w:tcPr>
            <w:tcW w:w="620" w:type="dxa"/>
            <w:vAlign w:val="bottom"/>
            <w:shd w:val="clear" w:color="auto" w:fill="D7E8F5"/>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8"/>
        </w:trPr>
        <w:tc>
          <w:tcPr>
            <w:tcW w:w="3220" w:type="dxa"/>
            <w:vAlign w:val="bottom"/>
            <w:shd w:val="clear" w:color="auto" w:fill="B4CFE9"/>
          </w:tcPr>
          <w:p>
            <w:pPr>
              <w:spacing w:after="0"/>
              <w:rPr>
                <w:sz w:val="20"/>
                <w:szCs w:val="20"/>
                <w:color w:val="auto"/>
              </w:rPr>
            </w:pPr>
            <w:r>
              <w:rPr>
                <w:rFonts w:ascii="Arial" w:cs="Arial" w:eastAsia="Arial" w:hAnsi="Arial"/>
                <w:sz w:val="16"/>
                <w:szCs w:val="16"/>
                <w:color w:val="auto"/>
              </w:rPr>
              <w:t>  Two or more races</w:t>
            </w:r>
          </w:p>
        </w:tc>
        <w:tc>
          <w:tcPr>
            <w:tcW w:w="280" w:type="dxa"/>
            <w:vAlign w:val="bottom"/>
            <w:shd w:val="clear" w:color="auto" w:fill="B4CFE9"/>
          </w:tcPr>
          <w:p>
            <w:pPr>
              <w:spacing w:after="0"/>
              <w:rPr>
                <w:sz w:val="24"/>
                <w:szCs w:val="24"/>
                <w:color w:val="auto"/>
              </w:rPr>
            </w:pPr>
          </w:p>
        </w:tc>
        <w:tc>
          <w:tcPr>
            <w:tcW w:w="620" w:type="dxa"/>
            <w:vAlign w:val="bottom"/>
            <w:shd w:val="clear" w:color="auto" w:fill="B4CFE9"/>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2"/>
        </w:trPr>
        <w:tc>
          <w:tcPr>
            <w:tcW w:w="3220" w:type="dxa"/>
            <w:vAlign w:val="bottom"/>
            <w:shd w:val="clear" w:color="auto" w:fill="D7E8F5"/>
          </w:tcPr>
          <w:p>
            <w:pPr>
              <w:spacing w:after="0"/>
              <w:rPr>
                <w:sz w:val="20"/>
                <w:szCs w:val="20"/>
                <w:color w:val="auto"/>
              </w:rPr>
            </w:pPr>
            <w:r>
              <w:rPr>
                <w:rFonts w:ascii="Arial" w:cs="Arial" w:eastAsia="Arial" w:hAnsi="Arial"/>
                <w:sz w:val="16"/>
                <w:szCs w:val="16"/>
                <w:color w:val="auto"/>
              </w:rPr>
              <w:t>  White</w:t>
            </w:r>
          </w:p>
        </w:tc>
        <w:tc>
          <w:tcPr>
            <w:tcW w:w="900" w:type="dxa"/>
            <w:vAlign w:val="bottom"/>
            <w:gridSpan w:val="2"/>
            <w:shd w:val="clear" w:color="auto" w:fill="D7E8F5"/>
          </w:tcPr>
          <w:p>
            <w:pPr>
              <w:jc w:val="center"/>
              <w:ind w:left="259"/>
              <w:spacing w:after="0"/>
              <w:rPr>
                <w:sz w:val="20"/>
                <w:szCs w:val="20"/>
                <w:color w:val="auto"/>
              </w:rPr>
            </w:pPr>
            <w:r>
              <w:rPr>
                <w:rFonts w:ascii="Arial" w:cs="Arial" w:eastAsia="Arial" w:hAnsi="Arial"/>
                <w:sz w:val="16"/>
                <w:szCs w:val="16"/>
                <w:color w:val="auto"/>
                <w:w w:val="99"/>
              </w:rPr>
              <w:t>62%</w:t>
            </w:r>
          </w:p>
        </w:tc>
        <w:tc>
          <w:tcPr>
            <w:tcW w:w="0" w:type="dxa"/>
            <w:vAlign w:val="bottom"/>
          </w:tcPr>
          <w:p>
            <w:pPr>
              <w:spacing w:after="0"/>
              <w:rPr>
                <w:sz w:val="1"/>
                <w:szCs w:val="1"/>
                <w:color w:val="auto"/>
              </w:rPr>
            </w:pPr>
          </w:p>
        </w:tc>
      </w:tr>
      <w:tr>
        <w:trPr>
          <w:trHeight w:val="291"/>
        </w:trPr>
        <w:tc>
          <w:tcPr>
            <w:tcW w:w="3220" w:type="dxa"/>
            <w:vAlign w:val="bottom"/>
            <w:shd w:val="clear" w:color="auto" w:fill="1D3060"/>
          </w:tcPr>
          <w:p>
            <w:pPr>
              <w:spacing w:after="0"/>
              <w:rPr>
                <w:sz w:val="20"/>
                <w:szCs w:val="20"/>
                <w:color w:val="auto"/>
              </w:rPr>
            </w:pPr>
            <w:r>
              <w:rPr>
                <w:rFonts w:ascii="Arial" w:cs="Arial" w:eastAsia="Arial" w:hAnsi="Arial"/>
                <w:sz w:val="18"/>
                <w:szCs w:val="18"/>
                <w:b w:val="1"/>
                <w:bCs w:val="1"/>
                <w:color w:val="auto"/>
              </w:rPr>
              <w:t>  Alnylam’s Management</w:t>
            </w:r>
          </w:p>
        </w:tc>
        <w:tc>
          <w:tcPr>
            <w:tcW w:w="280" w:type="dxa"/>
            <w:vAlign w:val="bottom"/>
            <w:shd w:val="clear" w:color="auto" w:fill="1D3060"/>
          </w:tcPr>
          <w:p>
            <w:pPr>
              <w:spacing w:after="0"/>
              <w:rPr>
                <w:sz w:val="24"/>
                <w:szCs w:val="24"/>
                <w:color w:val="auto"/>
              </w:rPr>
            </w:pPr>
          </w:p>
        </w:tc>
        <w:tc>
          <w:tcPr>
            <w:tcW w:w="620" w:type="dxa"/>
            <w:vAlign w:val="bottom"/>
            <w:shd w:val="clear" w:color="auto" w:fill="1D3060"/>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20" w:type="dxa"/>
            <w:vAlign w:val="bottom"/>
            <w:shd w:val="clear" w:color="auto" w:fill="B4CFE9"/>
          </w:tcPr>
          <w:p>
            <w:pPr>
              <w:spacing w:after="0"/>
              <w:rPr>
                <w:sz w:val="20"/>
                <w:szCs w:val="20"/>
                <w:color w:val="auto"/>
              </w:rPr>
            </w:pPr>
            <w:r>
              <w:rPr>
                <w:rFonts w:ascii="Arial" w:cs="Arial" w:eastAsia="Arial" w:hAnsi="Arial"/>
                <w:sz w:val="16"/>
                <w:szCs w:val="16"/>
                <w:color w:val="auto"/>
              </w:rPr>
              <w:t>  Executives</w:t>
            </w:r>
          </w:p>
        </w:tc>
        <w:tc>
          <w:tcPr>
            <w:tcW w:w="900" w:type="dxa"/>
            <w:vAlign w:val="bottom"/>
            <w:gridSpan w:val="2"/>
            <w:shd w:val="clear" w:color="auto" w:fill="B4CFE9"/>
          </w:tcPr>
          <w:p>
            <w:pPr>
              <w:jc w:val="center"/>
              <w:ind w:left="27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2"/>
        </w:trPr>
        <w:tc>
          <w:tcPr>
            <w:tcW w:w="3220" w:type="dxa"/>
            <w:vAlign w:val="bottom"/>
            <w:shd w:val="clear" w:color="auto" w:fill="D7E8F5"/>
          </w:tcPr>
          <w:p>
            <w:pPr>
              <w:spacing w:after="0"/>
              <w:rPr>
                <w:sz w:val="20"/>
                <w:szCs w:val="20"/>
                <w:color w:val="auto"/>
              </w:rPr>
            </w:pPr>
            <w:r>
              <w:rPr>
                <w:rFonts w:ascii="Arial" w:cs="Arial" w:eastAsia="Arial" w:hAnsi="Arial"/>
                <w:sz w:val="16"/>
                <w:szCs w:val="16"/>
                <w:color w:val="auto"/>
              </w:rPr>
              <w:t>  Female executives</w:t>
            </w:r>
          </w:p>
        </w:tc>
        <w:tc>
          <w:tcPr>
            <w:tcW w:w="280" w:type="dxa"/>
            <w:vAlign w:val="bottom"/>
            <w:shd w:val="clear" w:color="auto" w:fill="D7E8F5"/>
          </w:tcPr>
          <w:p>
            <w:pPr>
              <w:spacing w:after="0"/>
              <w:rPr>
                <w:sz w:val="22"/>
                <w:szCs w:val="22"/>
                <w:color w:val="auto"/>
              </w:rPr>
            </w:pPr>
          </w:p>
        </w:tc>
        <w:tc>
          <w:tcPr>
            <w:tcW w:w="620" w:type="dxa"/>
            <w:vAlign w:val="bottom"/>
            <w:shd w:val="clear" w:color="auto" w:fill="D7E8F5"/>
          </w:tcPr>
          <w:p>
            <w:pPr>
              <w:jc w:val="center"/>
              <w:spacing w:after="0"/>
              <w:rPr>
                <w:sz w:val="20"/>
                <w:szCs w:val="20"/>
                <w:color w:val="auto"/>
              </w:rPr>
            </w:pPr>
            <w:r>
              <w:rPr>
                <w:rFonts w:ascii="Arial" w:cs="Arial" w:eastAsia="Arial" w:hAnsi="Arial"/>
                <w:sz w:val="16"/>
                <w:szCs w:val="16"/>
                <w:color w:val="auto"/>
                <w:w w:val="80"/>
              </w:rPr>
              <w:t>  3</w:t>
            </w:r>
          </w:p>
        </w:tc>
        <w:tc>
          <w:tcPr>
            <w:tcW w:w="0" w:type="dxa"/>
            <w:vAlign w:val="bottom"/>
          </w:tcPr>
          <w:p>
            <w:pPr>
              <w:spacing w:after="0"/>
              <w:rPr>
                <w:sz w:val="1"/>
                <w:szCs w:val="1"/>
                <w:color w:val="auto"/>
              </w:rPr>
            </w:pPr>
          </w:p>
        </w:tc>
      </w:tr>
      <w:tr>
        <w:trPr>
          <w:trHeight w:val="237"/>
        </w:trPr>
        <w:tc>
          <w:tcPr>
            <w:tcW w:w="3220" w:type="dxa"/>
            <w:vAlign w:val="bottom"/>
            <w:shd w:val="clear" w:color="auto" w:fill="B4CFE9"/>
          </w:tcPr>
          <w:p>
            <w:pPr>
              <w:spacing w:after="0"/>
              <w:rPr>
                <w:sz w:val="20"/>
                <w:szCs w:val="20"/>
                <w:color w:val="auto"/>
              </w:rPr>
            </w:pPr>
            <w:r>
              <w:rPr>
                <w:rFonts w:ascii="Arial" w:cs="Arial" w:eastAsia="Arial" w:hAnsi="Arial"/>
                <w:sz w:val="16"/>
                <w:szCs w:val="16"/>
                <w:color w:val="auto"/>
              </w:rPr>
              <w:t>  Executives from</w:t>
            </w:r>
          </w:p>
        </w:tc>
        <w:tc>
          <w:tcPr>
            <w:tcW w:w="280" w:type="dxa"/>
            <w:vAlign w:val="bottom"/>
            <w:shd w:val="clear" w:color="auto" w:fill="B4CFE9"/>
          </w:tcPr>
          <w:p>
            <w:pPr>
              <w:spacing w:after="0"/>
              <w:rPr>
                <w:sz w:val="20"/>
                <w:szCs w:val="20"/>
                <w:color w:val="auto"/>
              </w:rPr>
            </w:pPr>
          </w:p>
        </w:tc>
        <w:tc>
          <w:tcPr>
            <w:tcW w:w="620" w:type="dxa"/>
            <w:vAlign w:val="bottom"/>
            <w:shd w:val="clear" w:color="auto" w:fill="B4CFE9"/>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B4CFE9"/>
          </w:tcPr>
          <w:p>
            <w:pPr>
              <w:spacing w:after="0"/>
              <w:rPr>
                <w:sz w:val="20"/>
                <w:szCs w:val="20"/>
                <w:color w:val="auto"/>
              </w:rPr>
            </w:pPr>
            <w:r>
              <w:rPr>
                <w:rFonts w:ascii="Arial" w:cs="Arial" w:eastAsia="Arial" w:hAnsi="Arial"/>
                <w:sz w:val="16"/>
                <w:szCs w:val="16"/>
                <w:color w:val="auto"/>
              </w:rPr>
              <w:t>  underrepresented</w:t>
            </w:r>
          </w:p>
        </w:tc>
        <w:tc>
          <w:tcPr>
            <w:tcW w:w="280" w:type="dxa"/>
            <w:vAlign w:val="bottom"/>
            <w:shd w:val="clear" w:color="auto" w:fill="B4CFE9"/>
          </w:tcPr>
          <w:p>
            <w:pPr>
              <w:spacing w:after="0"/>
              <w:rPr>
                <w:sz w:val="16"/>
                <w:szCs w:val="16"/>
                <w:color w:val="auto"/>
              </w:rPr>
            </w:pPr>
          </w:p>
        </w:tc>
        <w:tc>
          <w:tcPr>
            <w:tcW w:w="620" w:type="dxa"/>
            <w:vAlign w:val="bottom"/>
            <w:shd w:val="clear" w:color="auto" w:fill="B4CFE9"/>
          </w:tcPr>
          <w:p>
            <w:pPr>
              <w:jc w:val="center"/>
              <w:spacing w:after="0"/>
              <w:rPr>
                <w:sz w:val="20"/>
                <w:szCs w:val="20"/>
                <w:color w:val="auto"/>
              </w:rPr>
            </w:pPr>
            <w:r>
              <w:rPr>
                <w:rFonts w:ascii="Arial" w:cs="Arial" w:eastAsia="Arial" w:hAnsi="Arial"/>
                <w:sz w:val="16"/>
                <w:szCs w:val="16"/>
                <w:color w:val="auto"/>
                <w:w w:val="80"/>
              </w:rPr>
              <w:t>  4</w:t>
            </w:r>
          </w:p>
        </w:tc>
        <w:tc>
          <w:tcPr>
            <w:tcW w:w="0" w:type="dxa"/>
            <w:vAlign w:val="bottom"/>
          </w:tcPr>
          <w:p>
            <w:pPr>
              <w:spacing w:after="0"/>
              <w:rPr>
                <w:sz w:val="1"/>
                <w:szCs w:val="1"/>
                <w:color w:val="auto"/>
              </w:rPr>
            </w:pPr>
          </w:p>
        </w:tc>
      </w:tr>
      <w:tr>
        <w:trPr>
          <w:trHeight w:val="215"/>
        </w:trPr>
        <w:tc>
          <w:tcPr>
            <w:tcW w:w="3220" w:type="dxa"/>
            <w:vAlign w:val="bottom"/>
            <w:shd w:val="clear" w:color="auto" w:fill="B4CFE9"/>
          </w:tcPr>
          <w:p>
            <w:pPr>
              <w:spacing w:after="0"/>
              <w:rPr>
                <w:sz w:val="20"/>
                <w:szCs w:val="20"/>
                <w:color w:val="auto"/>
              </w:rPr>
            </w:pPr>
            <w:r>
              <w:rPr>
                <w:rFonts w:ascii="Arial" w:cs="Arial" w:eastAsia="Arial" w:hAnsi="Arial"/>
                <w:sz w:val="16"/>
                <w:szCs w:val="16"/>
                <w:color w:val="auto"/>
              </w:rPr>
              <w:t>  populations***</w:t>
            </w:r>
          </w:p>
        </w:tc>
        <w:tc>
          <w:tcPr>
            <w:tcW w:w="280" w:type="dxa"/>
            <w:vAlign w:val="bottom"/>
            <w:shd w:val="clear" w:color="auto" w:fill="B4CFE9"/>
          </w:tcPr>
          <w:p>
            <w:pPr>
              <w:spacing w:after="0"/>
              <w:rPr>
                <w:sz w:val="18"/>
                <w:szCs w:val="18"/>
                <w:color w:val="auto"/>
              </w:rPr>
            </w:pPr>
          </w:p>
        </w:tc>
        <w:tc>
          <w:tcPr>
            <w:tcW w:w="620" w:type="dxa"/>
            <w:vAlign w:val="bottom"/>
            <w:shd w:val="clear" w:color="auto" w:fill="B4CFE9"/>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220" w:type="dxa"/>
            <w:vAlign w:val="bottom"/>
            <w:shd w:val="clear" w:color="auto" w:fill="B4CFE9"/>
          </w:tcPr>
          <w:p>
            <w:pPr>
              <w:spacing w:after="0"/>
              <w:rPr>
                <w:sz w:val="2"/>
                <w:szCs w:val="2"/>
                <w:color w:val="auto"/>
              </w:rPr>
            </w:pPr>
          </w:p>
        </w:tc>
        <w:tc>
          <w:tcPr>
            <w:tcW w:w="280" w:type="dxa"/>
            <w:vAlign w:val="bottom"/>
            <w:shd w:val="clear" w:color="auto" w:fill="B4CFE9"/>
          </w:tcPr>
          <w:p>
            <w:pPr>
              <w:spacing w:after="0"/>
              <w:rPr>
                <w:sz w:val="2"/>
                <w:szCs w:val="2"/>
                <w:color w:val="auto"/>
              </w:rPr>
            </w:pPr>
          </w:p>
        </w:tc>
        <w:tc>
          <w:tcPr>
            <w:tcW w:w="620" w:type="dxa"/>
            <w:vAlign w:val="bottom"/>
            <w:shd w:val="clear" w:color="auto" w:fill="B4CFE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 All diversity statistics based on totals collected in December 2023.</w:t>
      </w:r>
    </w:p>
    <w:p>
      <w:pPr>
        <w:spacing w:after="0" w:line="49" w:lineRule="exact"/>
        <w:rPr>
          <w:sz w:val="20"/>
          <w:szCs w:val="20"/>
          <w:color w:val="auto"/>
        </w:rPr>
      </w:pPr>
    </w:p>
    <w:p>
      <w:pPr>
        <w:ind w:left="120" w:hanging="115"/>
        <w:spacing w:after="0"/>
        <w:tabs>
          <w:tab w:leader="none" w:pos="120" w:val="left"/>
        </w:tabs>
        <w:numPr>
          <w:ilvl w:val="0"/>
          <w:numId w:val="7"/>
        </w:numPr>
        <w:rPr>
          <w:rFonts w:ascii="Arial" w:cs="Arial" w:eastAsia="Arial" w:hAnsi="Arial"/>
          <w:sz w:val="10"/>
          <w:szCs w:val="10"/>
          <w:color w:val="auto"/>
        </w:rPr>
      </w:pPr>
      <w:r>
        <w:rPr>
          <w:rFonts w:ascii="Arial" w:cs="Arial" w:eastAsia="Arial" w:hAnsi="Arial"/>
          <w:sz w:val="10"/>
          <w:szCs w:val="10"/>
          <w:color w:val="auto"/>
        </w:rPr>
        <w:t>13% of the U.S. employee population did not disclose their race and ethnicity information</w:t>
      </w:r>
    </w:p>
    <w:p>
      <w:pPr>
        <w:spacing w:after="0" w:line="60" w:lineRule="exact"/>
        <w:rPr>
          <w:rFonts w:ascii="Arial" w:cs="Arial" w:eastAsia="Arial" w:hAnsi="Arial"/>
          <w:sz w:val="10"/>
          <w:szCs w:val="10"/>
          <w:color w:val="auto"/>
        </w:rPr>
      </w:pPr>
    </w:p>
    <w:p>
      <w:pPr>
        <w:ind w:right="300" w:firstLine="5"/>
        <w:spacing w:after="0" w:line="309" w:lineRule="auto"/>
        <w:tabs>
          <w:tab w:leader="none" w:pos="156" w:val="left"/>
        </w:tabs>
        <w:numPr>
          <w:ilvl w:val="0"/>
          <w:numId w:val="8"/>
        </w:numPr>
        <w:rPr>
          <w:rFonts w:ascii="Arial" w:cs="Arial" w:eastAsia="Arial" w:hAnsi="Arial"/>
          <w:sz w:val="10"/>
          <w:szCs w:val="10"/>
          <w:color w:val="auto"/>
        </w:rPr>
      </w:pPr>
      <w:r>
        <w:rPr>
          <w:rFonts w:ascii="Arial" w:cs="Arial" w:eastAsia="Arial" w:hAnsi="Arial"/>
          <w:sz w:val="10"/>
          <w:szCs w:val="10"/>
          <w:color w:val="auto"/>
        </w:rPr>
        <w:t>Defined as those who self-reported as Black or African American, Hispanic or Latino, American Indian, Alaska Native or Pacific Islander, or who identified as two or more races</w:t>
      </w:r>
    </w:p>
    <w:p>
      <w:pPr>
        <w:spacing w:after="0" w:line="200" w:lineRule="exact"/>
        <w:rPr>
          <w:sz w:val="20"/>
          <w:szCs w:val="20"/>
          <w:color w:val="auto"/>
        </w:rPr>
      </w:pPr>
    </w:p>
    <w:p>
      <w:pPr>
        <w:sectPr>
          <w:pgSz w:w="11900" w:h="16838" w:orient="portrait"/>
          <w:cols w:equalWidth="0" w:num="2">
            <w:col w:w="6160" w:space="400"/>
            <w:col w:w="4580"/>
          </w:cols>
          <w:pgMar w:left="320" w:top="482" w:right="4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10460"/>
        <w:spacing w:after="0"/>
        <w:rPr>
          <w:sz w:val="20"/>
          <w:szCs w:val="20"/>
          <w:color w:val="auto"/>
        </w:rPr>
      </w:pPr>
      <w:r>
        <w:rPr>
          <w:rFonts w:ascii="Arial" w:cs="Arial" w:eastAsia="Arial" w:hAnsi="Arial"/>
          <w:sz w:val="17"/>
          <w:szCs w:val="17"/>
          <w:b w:val="1"/>
          <w:bCs w:val="1"/>
          <w:color w:val="6AA0D4"/>
        </w:rPr>
        <w:t>Page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Environmental Sustainability</w:t>
      </w:r>
    </w:p>
    <w:p>
      <w:pPr>
        <w:spacing w:after="0" w:line="204" w:lineRule="exact"/>
        <w:rPr>
          <w:sz w:val="20"/>
          <w:szCs w:val="20"/>
          <w:color w:val="auto"/>
        </w:rPr>
      </w:pPr>
    </w:p>
    <w:p>
      <w:pPr>
        <w:ind w:left="120" w:right="40" w:firstLine="771"/>
        <w:spacing w:after="0" w:line="233" w:lineRule="auto"/>
        <w:rPr>
          <w:sz w:val="20"/>
          <w:szCs w:val="20"/>
          <w:color w:val="auto"/>
        </w:rPr>
      </w:pPr>
      <w:r>
        <w:rPr>
          <w:rFonts w:ascii="Arial" w:cs="Arial" w:eastAsia="Arial" w:hAnsi="Arial"/>
          <w:sz w:val="20"/>
          <w:szCs w:val="20"/>
          <w:color w:val="auto"/>
        </w:rPr>
        <w:t>As a biopharmaceutical company focused on improving the health of humanity, we have an important role to play in creating a more sustainable planet. We know that public health is inextricably linked to our planet’s health. We believe it is our responsibility to minimize our impact on the environment and address the growing threat of climate change globally. Most notably, in 2023, we invested in sourcing renewable energy for our Norton and Alewife Massachusetts facilities. Beginning in January 2024, 100% of purchased energy at these manufacturing facilities will be sourced from certified renewable energy sources.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 2023, we also continued to refine these processes and decrease our environmental impact by:</w:t>
      </w:r>
    </w:p>
    <w:p>
      <w:pPr>
        <w:spacing w:after="0" w:line="108" w:lineRule="exact"/>
        <w:rPr>
          <w:sz w:val="20"/>
          <w:szCs w:val="20"/>
          <w:color w:val="auto"/>
        </w:rPr>
      </w:pPr>
    </w:p>
    <w:p>
      <w:pPr>
        <w:ind w:left="1320" w:hanging="435"/>
        <w:spacing w:after="0"/>
        <w:tabs>
          <w:tab w:leader="none" w:pos="132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continuing to complete annual emissions and waste inventories and report on them in our annual CR Report;</w:t>
      </w:r>
    </w:p>
    <w:p>
      <w:pPr>
        <w:spacing w:after="0" w:line="107" w:lineRule="exact"/>
        <w:rPr>
          <w:rFonts w:ascii="Arial" w:cs="Arial" w:eastAsia="Arial" w:hAnsi="Arial"/>
          <w:sz w:val="20"/>
          <w:szCs w:val="20"/>
          <w:color w:val="auto"/>
        </w:rPr>
      </w:pPr>
    </w:p>
    <w:p>
      <w:pPr>
        <w:ind w:left="1320" w:hanging="435"/>
        <w:spacing w:after="0"/>
        <w:tabs>
          <w:tab w:leader="none" w:pos="132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continuing to calculate our Scope 1 and Scope 2 GHG emissions and three Scope 3 emissions categories;</w:t>
      </w:r>
    </w:p>
    <w:p>
      <w:pPr>
        <w:spacing w:after="0" w:line="107" w:lineRule="exact"/>
        <w:rPr>
          <w:rFonts w:ascii="Arial" w:cs="Arial" w:eastAsia="Arial" w:hAnsi="Arial"/>
          <w:sz w:val="20"/>
          <w:szCs w:val="20"/>
          <w:color w:val="auto"/>
        </w:rPr>
      </w:pPr>
    </w:p>
    <w:p>
      <w:pPr>
        <w:ind w:left="1320" w:right="20" w:hanging="435"/>
        <w:spacing w:after="0" w:line="257" w:lineRule="auto"/>
        <w:tabs>
          <w:tab w:leader="none" w:pos="1320" w:val="left"/>
        </w:tabs>
        <w:numPr>
          <w:ilvl w:val="0"/>
          <w:numId w:val="9"/>
        </w:numPr>
        <w:rPr>
          <w:rFonts w:ascii="Arial" w:cs="Arial" w:eastAsia="Arial" w:hAnsi="Arial"/>
          <w:sz w:val="20"/>
          <w:szCs w:val="20"/>
          <w:color w:val="auto"/>
        </w:rPr>
      </w:pPr>
      <w:r>
        <w:rPr>
          <w:rFonts w:ascii="Arial" w:cs="Arial" w:eastAsia="Arial" w:hAnsi="Arial"/>
          <w:sz w:val="20"/>
          <w:szCs w:val="20"/>
          <w:color w:val="auto"/>
        </w:rPr>
        <w:t>utilizing the WRI GHG Protocol and ISO 14064-1 standards to quantify GHG emissions from all our facilities and vehicles as well as purchasing electricity, steam, and water; and</w:t>
      </w:r>
    </w:p>
    <w:p>
      <w:pPr>
        <w:spacing w:after="0" w:line="60" w:lineRule="exact"/>
        <w:rPr>
          <w:rFonts w:ascii="Arial" w:cs="Arial" w:eastAsia="Arial" w:hAnsi="Arial"/>
          <w:sz w:val="20"/>
          <w:szCs w:val="20"/>
          <w:color w:val="auto"/>
        </w:rPr>
      </w:pPr>
    </w:p>
    <w:p>
      <w:pPr>
        <w:ind w:left="1320" w:right="120" w:hanging="435"/>
        <w:spacing w:after="0" w:line="257" w:lineRule="auto"/>
        <w:tabs>
          <w:tab w:leader="none" w:pos="132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completing the process of independent third-party verification of baseline data and are in process of verification of 2023 GHG emissions and waste management data.</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Cybersecurity and Data Privacy</w:t>
      </w:r>
    </w:p>
    <w:p>
      <w:pPr>
        <w:spacing w:after="0" w:line="204" w:lineRule="exact"/>
        <w:rPr>
          <w:sz w:val="20"/>
          <w:szCs w:val="20"/>
          <w:color w:val="auto"/>
        </w:rPr>
      </w:pPr>
    </w:p>
    <w:p>
      <w:pPr>
        <w:ind w:left="120" w:right="20" w:firstLine="771"/>
        <w:spacing w:after="0" w:line="243" w:lineRule="auto"/>
        <w:rPr>
          <w:sz w:val="20"/>
          <w:szCs w:val="20"/>
          <w:color w:val="auto"/>
        </w:rPr>
      </w:pPr>
      <w:r>
        <w:rPr>
          <w:rFonts w:ascii="Arial" w:cs="Arial" w:eastAsia="Arial" w:hAnsi="Arial"/>
          <w:sz w:val="19"/>
          <w:szCs w:val="19"/>
          <w:color w:val="auto"/>
        </w:rPr>
        <w:t>Our nominating and corporate governance committee assists our board in fulfilling its oversight responsibilities with respect to the management of risks associated with cybersecurity and data privacy. We have in place a cross-functional, enterprise-wide cybersecurity program that is integrated into our overall risk management process and strategy. As part of this program, we conduct continuous monitoring for anomalous behavior using a third-party security operations center. In addition, we engage a third party to conduct an annual independent cybersecurity program assessment to enhance our information security in alignment with leading practices, the constantly evolving cyber-risk landscape and applicable business considerations. By continuously assessing the cybersecurity landscape, we develop targeted strategies that identify and address the risks most likely to impact our company. We apply a global approach to meeting the highest and strictest data privacy standards in every country in which we operate to ensure we handle our patients’ private data with integrity.</w:t>
      </w:r>
    </w:p>
    <w:p>
      <w:pPr>
        <w:spacing w:after="0" w:line="169" w:lineRule="exact"/>
        <w:rPr>
          <w:sz w:val="20"/>
          <w:szCs w:val="20"/>
          <w:color w:val="auto"/>
        </w:rPr>
      </w:pPr>
    </w:p>
    <w:p>
      <w:pPr>
        <w:ind w:left="120" w:right="440" w:firstLine="771"/>
        <w:spacing w:after="0" w:line="257" w:lineRule="auto"/>
        <w:rPr>
          <w:sz w:val="20"/>
          <w:szCs w:val="20"/>
          <w:color w:val="auto"/>
        </w:rPr>
      </w:pPr>
      <w:r>
        <w:rPr>
          <w:rFonts w:ascii="Arial" w:cs="Arial" w:eastAsia="Arial" w:hAnsi="Arial"/>
          <w:sz w:val="20"/>
          <w:szCs w:val="20"/>
          <w:color w:val="auto"/>
        </w:rPr>
        <w:t>Guided by our nominating and corporate governance committee, we continue to invest in cybersecurity and data privacy resources. In 2023, we:</w:t>
      </w:r>
    </w:p>
    <w:p>
      <w:pPr>
        <w:spacing w:after="0" w:line="61" w:lineRule="exact"/>
        <w:rPr>
          <w:sz w:val="20"/>
          <w:szCs w:val="20"/>
          <w:color w:val="auto"/>
        </w:rPr>
      </w:pPr>
    </w:p>
    <w:p>
      <w:pPr>
        <w:jc w:val="both"/>
        <w:ind w:left="1320" w:right="280" w:hanging="435"/>
        <w:spacing w:after="0" w:line="241" w:lineRule="auto"/>
        <w:tabs>
          <w:tab w:leader="none" w:pos="13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Maintained a dedicated data governance committee, or DGC, comprised of leaders from information security, technology and intellectual property. The DGC has created policies and procedures regarding data collection, retention, storage, and destruction that will execute across all business units in 2024;</w:t>
      </w:r>
    </w:p>
    <w:p>
      <w:pPr>
        <w:spacing w:after="0" w:line="76" w:lineRule="exact"/>
        <w:rPr>
          <w:rFonts w:ascii="Arial" w:cs="Arial" w:eastAsia="Arial" w:hAnsi="Arial"/>
          <w:sz w:val="20"/>
          <w:szCs w:val="20"/>
          <w:color w:val="auto"/>
        </w:rPr>
      </w:pPr>
    </w:p>
    <w:p>
      <w:pPr>
        <w:ind w:left="1320" w:right="120" w:hanging="435"/>
        <w:spacing w:after="0" w:line="237" w:lineRule="auto"/>
        <w:tabs>
          <w:tab w:leader="none" w:pos="13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DGC recognized the growth of generative artificial intelligence, or AI, and large language models, or LLMs, as business tools, creating a set of global guidelines to understand and evaluate AI and LLM technology and explore its use across our organization. These guidelines encourage employees to consider confidentiality, personal data, intellectual property, and other considerations in using these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320" w:right="200" w:hanging="435"/>
        <w:spacing w:after="0" w:line="241" w:lineRule="auto"/>
        <w:tabs>
          <w:tab w:leader="none" w:pos="13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Continued to implement our “Privacy By Design” process globally, embedding our commitment to privacy into business processes and ensuring our technology enables privacy and data protection for employees, patients, and partners.</w:t>
      </w:r>
    </w:p>
    <w:p>
      <w:pPr>
        <w:spacing w:after="0" w:line="171" w:lineRule="exact"/>
        <w:rPr>
          <w:sz w:val="20"/>
          <w:szCs w:val="20"/>
          <w:color w:val="auto"/>
        </w:rPr>
      </w:pPr>
    </w:p>
    <w:p>
      <w:pPr>
        <w:ind w:left="120" w:right="40" w:firstLine="771"/>
        <w:spacing w:after="0" w:line="257" w:lineRule="auto"/>
        <w:rPr>
          <w:sz w:val="20"/>
          <w:szCs w:val="20"/>
          <w:color w:val="auto"/>
        </w:rPr>
      </w:pPr>
      <w:r>
        <w:rPr>
          <w:rFonts w:ascii="Arial" w:cs="Arial" w:eastAsia="Arial" w:hAnsi="Arial"/>
          <w:sz w:val="20"/>
          <w:szCs w:val="20"/>
          <w:color w:val="auto"/>
        </w:rPr>
        <w:t>For additional information please view our Corporate Responsibility website and our Annual Corporate Responsibility Report, published each year in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8356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83566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31"/>
          <w:szCs w:val="31"/>
          <w:b w:val="1"/>
          <w:bCs w:val="1"/>
          <w:color w:val="2275B5"/>
        </w:rPr>
        <w:t>INFORMATION CONCERNING DIRECTOR NOMINEES –</w:t>
      </w:r>
    </w:p>
    <w:p>
      <w:pPr>
        <w:spacing w:after="0" w:line="40" w:lineRule="exact"/>
        <w:rPr>
          <w:sz w:val="20"/>
          <w:szCs w:val="20"/>
          <w:color w:val="auto"/>
        </w:rPr>
      </w:pPr>
    </w:p>
    <w:p>
      <w:pPr>
        <w:jc w:val="center"/>
        <w:ind w:right="-119"/>
        <w:spacing w:after="0"/>
        <w:rPr>
          <w:sz w:val="20"/>
          <w:szCs w:val="20"/>
          <w:color w:val="auto"/>
        </w:rPr>
      </w:pPr>
      <w:r>
        <w:rPr>
          <w:rFonts w:ascii="Arial" w:cs="Arial" w:eastAsia="Arial" w:hAnsi="Arial"/>
          <w:sz w:val="31"/>
          <w:szCs w:val="31"/>
          <w:b w:val="1"/>
          <w:bCs w:val="1"/>
          <w:color w:val="2275B5"/>
        </w:rPr>
        <w:t>ELECTION OF CLASS II DIRECTORS (PROPOSAL 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right="20" w:firstLine="771"/>
        <w:spacing w:after="0" w:line="202" w:lineRule="auto"/>
        <w:rPr>
          <w:sz w:val="20"/>
          <w:szCs w:val="20"/>
          <w:color w:val="auto"/>
        </w:rPr>
      </w:pPr>
      <w:r>
        <w:rPr>
          <w:rFonts w:ascii="Arial" w:cs="Arial" w:eastAsia="Arial" w:hAnsi="Arial"/>
          <w:sz w:val="20"/>
          <w:szCs w:val="20"/>
          <w:color w:val="auto"/>
        </w:rPr>
        <w:t>Alnylam has led the translation of RNAi (RNA interference) from a Nobel Prize-winning discovery into an innovative, entirely new class of medicines. Founded in 2002 by a team of distinguished life sciences leaders, Alnylam’s vision is to harness the potential of RNAi therapeutics to transform the lives of people living with diseases for which there are limited or inadequate treatment options. Our pioneering work delivered the world’s first approved RNAi therapeutics — ONPATTRO</w:t>
      </w:r>
      <w:r>
        <w:rPr>
          <w:rFonts w:ascii="Arial" w:cs="Arial" w:eastAsia="Arial" w:hAnsi="Arial"/>
          <w:sz w:val="29"/>
          <w:szCs w:val="29"/>
          <w:color w:val="auto"/>
          <w:vertAlign w:val="superscript"/>
        </w:rPr>
        <w:t>®</w:t>
      </w:r>
      <w:r>
        <w:rPr>
          <w:rFonts w:ascii="Arial" w:cs="Arial" w:eastAsia="Arial" w:hAnsi="Arial"/>
          <w:sz w:val="20"/>
          <w:szCs w:val="20"/>
          <w:color w:val="auto"/>
        </w:rPr>
        <w:t xml:space="preserve"> (patisiran) in 2018, GIVLAARI</w:t>
      </w:r>
      <w:r>
        <w:rPr>
          <w:rFonts w:ascii="Arial" w:cs="Arial" w:eastAsia="Arial" w:hAnsi="Arial"/>
          <w:sz w:val="29"/>
          <w:szCs w:val="29"/>
          <w:color w:val="auto"/>
          <w:vertAlign w:val="superscript"/>
        </w:rPr>
        <w:t>®</w:t>
      </w:r>
      <w:r>
        <w:rPr>
          <w:rFonts w:ascii="Arial" w:cs="Arial" w:eastAsia="Arial" w:hAnsi="Arial"/>
          <w:sz w:val="20"/>
          <w:szCs w:val="20"/>
          <w:color w:val="auto"/>
        </w:rPr>
        <w:t xml:space="preserve"> (givosiran) in 2019, OXLUMO</w:t>
      </w:r>
      <w:r>
        <w:rPr>
          <w:rFonts w:ascii="Arial" w:cs="Arial" w:eastAsia="Arial" w:hAnsi="Arial"/>
          <w:sz w:val="29"/>
          <w:szCs w:val="29"/>
          <w:color w:val="auto"/>
          <w:vertAlign w:val="superscript"/>
        </w:rPr>
        <w:t>®</w:t>
      </w:r>
      <w:r>
        <w:rPr>
          <w:rFonts w:ascii="Arial" w:cs="Arial" w:eastAsia="Arial" w:hAnsi="Arial"/>
          <w:sz w:val="20"/>
          <w:szCs w:val="20"/>
          <w:color w:val="auto"/>
        </w:rPr>
        <w:t xml:space="preserve"> (lumasiran) in 2020, and AMVUTTRA</w:t>
      </w:r>
      <w:r>
        <w:rPr>
          <w:rFonts w:ascii="Arial" w:cs="Arial" w:eastAsia="Arial" w:hAnsi="Arial"/>
          <w:sz w:val="29"/>
          <w:szCs w:val="29"/>
          <w:color w:val="auto"/>
          <w:vertAlign w:val="superscript"/>
        </w:rPr>
        <w:t>®</w:t>
      </w:r>
      <w:r>
        <w:rPr>
          <w:rFonts w:ascii="Arial" w:cs="Arial" w:eastAsia="Arial" w:hAnsi="Arial"/>
          <w:sz w:val="20"/>
          <w:szCs w:val="20"/>
          <w:color w:val="auto"/>
        </w:rPr>
        <w:t xml:space="preserve"> (vutrisiran) in 2022. We are advancing a deep pipeline of innovative RNAi-based medicines.</w:t>
      </w:r>
    </w:p>
    <w:p>
      <w:pPr>
        <w:spacing w:after="0" w:line="176" w:lineRule="exact"/>
        <w:rPr>
          <w:sz w:val="20"/>
          <w:szCs w:val="20"/>
          <w:color w:val="auto"/>
        </w:rPr>
      </w:pPr>
    </w:p>
    <w:p>
      <w:pPr>
        <w:ind w:left="120" w:right="40" w:firstLine="771"/>
        <w:spacing w:after="0" w:line="237" w:lineRule="auto"/>
        <w:rPr>
          <w:sz w:val="20"/>
          <w:szCs w:val="20"/>
          <w:color w:val="auto"/>
        </w:rPr>
      </w:pPr>
      <w:r>
        <w:rPr>
          <w:rFonts w:ascii="Arial" w:cs="Arial" w:eastAsia="Arial" w:hAnsi="Arial"/>
          <w:sz w:val="20"/>
          <w:szCs w:val="20"/>
          <w:color w:val="auto"/>
        </w:rPr>
        <w:t>We have three classes of directors: Class I, Class II and Class III. At each annual meeting, directors are elected for a term of three years to succeed those whose terms are expiring. The directors are divided as equally as possible among the three classes, and the terms of the three classes are staggered so that only one class is elected by stockholders annually. There are currently four members in each of Class I, II and III.</w:t>
      </w:r>
    </w:p>
    <w:p>
      <w:pPr>
        <w:spacing w:after="0" w:line="172" w:lineRule="exact"/>
        <w:rPr>
          <w:sz w:val="20"/>
          <w:szCs w:val="20"/>
          <w:color w:val="auto"/>
        </w:rPr>
      </w:pPr>
    </w:p>
    <w:p>
      <w:pPr>
        <w:ind w:left="120" w:right="20" w:firstLine="771"/>
        <w:spacing w:after="0" w:line="232" w:lineRule="auto"/>
        <w:rPr>
          <w:sz w:val="20"/>
          <w:szCs w:val="20"/>
          <w:color w:val="auto"/>
        </w:rPr>
      </w:pPr>
      <w:r>
        <w:rPr>
          <w:rFonts w:ascii="Arial" w:cs="Arial" w:eastAsia="Arial" w:hAnsi="Arial"/>
          <w:sz w:val="20"/>
          <w:szCs w:val="20"/>
          <w:color w:val="auto"/>
        </w:rPr>
        <w:t>In January 2023, our board expanded its size from eleven to twelve directors and elected Dr. Carolyn R. Bertozzi as a Class III director to fill the newly created vacancy. Dr. Bertozzi’s term expires at the 2025 annual meeting. In March 2023, our board again expanded its size from twelve to thirteen directors and elected Peter N. Kellogg as a Class II director to fill the newly created vacancy. Mr. Kellogg’s term expires at the 2024 annual meeting. In September 2023, Marsha H. Fanucci resigned from our board of directors. Ms. Fanucci was elected to our board of directors in December 2010 and served as a Class III director. In connection with Ms. Fanucci’s resignation, our board reduced its size from thirteen members to twelve members, effective as of September 29, 2023.</w:t>
      </w:r>
    </w:p>
    <w:p>
      <w:pPr>
        <w:spacing w:after="0" w:line="172" w:lineRule="exact"/>
        <w:rPr>
          <w:sz w:val="20"/>
          <w:szCs w:val="20"/>
          <w:color w:val="auto"/>
        </w:rPr>
      </w:pPr>
    </w:p>
    <w:p>
      <w:pPr>
        <w:ind w:left="120" w:right="20" w:firstLine="771"/>
        <w:spacing w:after="0" w:line="229" w:lineRule="auto"/>
        <w:rPr>
          <w:sz w:val="20"/>
          <w:szCs w:val="20"/>
          <w:color w:val="auto"/>
        </w:rPr>
      </w:pPr>
      <w:r>
        <w:rPr>
          <w:rFonts w:ascii="Arial" w:cs="Arial" w:eastAsia="Arial" w:hAnsi="Arial"/>
          <w:sz w:val="20"/>
          <w:szCs w:val="20"/>
          <w:color w:val="auto"/>
        </w:rPr>
        <w:t>At the annual meeting, we are proposing the election of four (4) Class II directors to hold office until the annual meeting of stockholders to be held in 2027, or until their respective successors have been duly elected and qualified. Upon the recommendation of our nominating and corporate governance committee, our board has nominated Dennis A. Ausiello, M.D., Olivier Brandicourt, M.D., Peter N. Kellogg and David E.I. Pyott for election to the board of directors as Class II directors. Drs. Ausiello and Brandicourt and Messrs. Kellogg and Pyott are currently serving as Class II directors. Dr. Ausiello has served as a director since 2012, Dr. Brandicourt has served as a director since 2020, Mr. Kellogg has served as a director since 2023, and Mr. Pyott has served as a director since 2015. The persons named in the enclosed proxy will vote to elect each nominee as a Class II director unless the proxy is marked otherwise. Drs. Ausiello and Brandicourt and Messrs. Kellogg and Pyott have indicated their willingness to serve on our board, but if any nominee should be unwilling or unable to serve, the person acting under the proxy may vote the proxy for a substitute nominee designated by our board, unless the board reduces the number of directors accordingly.</w:t>
      </w:r>
    </w:p>
    <w:p>
      <w:pPr>
        <w:spacing w:after="0" w:line="178" w:lineRule="exact"/>
        <w:rPr>
          <w:sz w:val="20"/>
          <w:szCs w:val="20"/>
          <w:color w:val="auto"/>
        </w:rPr>
      </w:pPr>
    </w:p>
    <w:p>
      <w:pPr>
        <w:ind w:left="120" w:right="120" w:firstLine="771"/>
        <w:spacing w:after="0" w:line="234" w:lineRule="auto"/>
        <w:rPr>
          <w:sz w:val="20"/>
          <w:szCs w:val="20"/>
          <w:color w:val="auto"/>
        </w:rPr>
      </w:pPr>
      <w:r>
        <w:rPr>
          <w:rFonts w:ascii="Arial" w:cs="Arial" w:eastAsia="Arial" w:hAnsi="Arial"/>
          <w:sz w:val="20"/>
          <w:szCs w:val="20"/>
          <w:color w:val="auto"/>
        </w:rPr>
        <w:t>Each nominee for Class II director receiving a majority of the votes cast by stockholders entitled to vote thereon will be elected to serve on our board. As described more fully below under the heading “Majority Voting Policy,” we have adopted a resignation policy in the event a director nominee does not receive a majority of such votes. Abstentions and broker non-votes, if any, are not counted for purposes of this proposal. The Class II directors elected at this year’s annual meeting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340"/>
        <w:spacing w:after="0" w:line="257" w:lineRule="auto"/>
        <w:rPr>
          <w:sz w:val="20"/>
          <w:szCs w:val="20"/>
          <w:color w:val="auto"/>
        </w:rPr>
      </w:pPr>
      <w:r>
        <w:rPr>
          <w:rFonts w:ascii="Arial" w:cs="Arial" w:eastAsia="Arial" w:hAnsi="Arial"/>
          <w:sz w:val="20"/>
          <w:szCs w:val="20"/>
          <w:color w:val="auto"/>
        </w:rPr>
        <w:t>serve as members of our board until the 2027 annual meeting of stockholders, or until their respective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288290</wp:posOffset>
            </wp:positionV>
            <wp:extent cx="7003415" cy="1045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341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1D3060"/>
        </w:rPr>
        <w:t>BOARD RECOMMENDATION</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D3060"/>
        </w:rPr>
        <w:t>Our board of directors unanimously recommends a vote “FOR” the election of each of</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D3060"/>
        </w:rPr>
        <w:t>Drs. Ausiello and Brandicourt and Messrs. Kellogg and Pyott as a Class II director.</w:t>
      </w:r>
    </w:p>
    <w:p>
      <w:pPr>
        <w:spacing w:after="0" w:line="200" w:lineRule="exact"/>
        <w:rPr>
          <w:sz w:val="20"/>
          <w:szCs w:val="20"/>
          <w:color w:val="auto"/>
        </w:rPr>
      </w:pPr>
    </w:p>
    <w:p>
      <w:pPr>
        <w:spacing w:after="0" w:line="220" w:lineRule="exact"/>
        <w:rPr>
          <w:sz w:val="20"/>
          <w:szCs w:val="20"/>
          <w:color w:val="auto"/>
        </w:rPr>
      </w:pPr>
    </w:p>
    <w:p>
      <w:pPr>
        <w:ind w:left="120" w:right="240" w:firstLine="771"/>
        <w:spacing w:after="0" w:line="237" w:lineRule="auto"/>
        <w:rPr>
          <w:sz w:val="20"/>
          <w:szCs w:val="20"/>
          <w:color w:val="auto"/>
        </w:rPr>
      </w:pPr>
      <w:r>
        <w:rPr>
          <w:rFonts w:ascii="Arial" w:cs="Arial" w:eastAsia="Arial" w:hAnsi="Arial"/>
          <w:sz w:val="20"/>
          <w:szCs w:val="20"/>
          <w:color w:val="auto"/>
        </w:rPr>
        <w:t>Set forth below for each continuing director, including the Class II director nominees, is information as of March 15, 2024 with respect to his or her (a) name and age, (b) positions and offices at Alnylam, if any, (c) principal occupation and business experience during at least the past five years, (d) directorships, if any, of other publicly-held companies, held currently or during the past five years, and (e) the year such person became a member of our board of directors.</w:t>
      </w:r>
    </w:p>
    <w:p>
      <w:pPr>
        <w:spacing w:after="0" w:line="172" w:lineRule="exact"/>
        <w:rPr>
          <w:sz w:val="20"/>
          <w:szCs w:val="20"/>
          <w:color w:val="auto"/>
        </w:rPr>
      </w:pPr>
    </w:p>
    <w:p>
      <w:pPr>
        <w:ind w:left="120" w:right="40" w:firstLine="771"/>
        <w:spacing w:after="0" w:line="232" w:lineRule="auto"/>
        <w:rPr>
          <w:sz w:val="20"/>
          <w:szCs w:val="20"/>
          <w:color w:val="auto"/>
        </w:rPr>
      </w:pPr>
      <w:r>
        <w:rPr>
          <w:rFonts w:ascii="Arial" w:cs="Arial" w:eastAsia="Arial" w:hAnsi="Arial"/>
          <w:sz w:val="20"/>
          <w:szCs w:val="20"/>
          <w:color w:val="auto"/>
        </w:rPr>
        <w:t>We have also included information below regarding each continuing director’s specific experience, qualifications, attributes, and skills that led the nominating and corporate governance committee and our board of directors to the conclusion that he or she should serve as a director in light of our business and structure. Our board has determined that each director serving on our board of directors, with the exception of our chief executive officer, or CEO, Dr. Greenstreet, and our former executive chair, Mr. Bonney, are independent within the meaning of the director independence standards of the Nasdaq Global Select Market and the Securities Exchange Act of 1934, as amended, or the Exchange Act.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1D3060"/>
        </w:rPr>
        <w:t>Class II—Directors/Nominees to be elected at the 2024 annual meeting (terms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173355</wp:posOffset>
            </wp:positionV>
            <wp:extent cx="6926580" cy="4705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6580" cy="47059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D3060"/>
        </w:rPr>
        <w:t> Dennis A. Ausiello, M.D.</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Independent Director</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Committees:</w:t>
      </w:r>
    </w:p>
    <w:p>
      <w:pPr>
        <w:spacing w:after="0" w:line="6" w:lineRule="exact"/>
        <w:rPr>
          <w:sz w:val="20"/>
          <w:szCs w:val="20"/>
          <w:color w:val="auto"/>
        </w:rPr>
      </w:pPr>
    </w:p>
    <w:p>
      <w:pPr>
        <w:ind w:left="660" w:right="140" w:hanging="197"/>
        <w:spacing w:after="0" w:line="237" w:lineRule="auto"/>
        <w:rPr>
          <w:sz w:val="20"/>
          <w:szCs w:val="20"/>
          <w:color w:val="auto"/>
        </w:rPr>
      </w:pPr>
      <w:r>
        <w:rPr>
          <w:rFonts w:ascii="Arial" w:cs="Arial" w:eastAsia="Arial" w:hAnsi="Arial"/>
          <w:sz w:val="19"/>
          <w:szCs w:val="19"/>
          <w:color w:val="auto"/>
        </w:rPr>
        <w:t>•   Nominating and Corporate Governance Committee</w:t>
      </w:r>
    </w:p>
    <w:p>
      <w:pPr>
        <w:ind w:left="660" w:right="320" w:hanging="197"/>
        <w:spacing w:after="0" w:line="239" w:lineRule="auto"/>
        <w:rPr>
          <w:sz w:val="20"/>
          <w:szCs w:val="20"/>
          <w:color w:val="auto"/>
        </w:rPr>
      </w:pPr>
      <w:r>
        <w:rPr>
          <w:rFonts w:ascii="Arial" w:cs="Arial" w:eastAsia="Arial" w:hAnsi="Arial"/>
          <w:sz w:val="20"/>
          <w:szCs w:val="20"/>
          <w:color w:val="auto"/>
        </w:rPr>
        <w:t>•   Science and Technology Committee</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2012</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78</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ind w:right="380"/>
        <w:spacing w:after="0" w:line="237" w:lineRule="auto"/>
        <w:rPr>
          <w:sz w:val="20"/>
          <w:szCs w:val="20"/>
          <w:color w:val="auto"/>
        </w:rPr>
      </w:pPr>
      <w:r>
        <w:rPr>
          <w:rFonts w:ascii="Arial" w:cs="Arial" w:eastAsia="Arial" w:hAnsi="Arial"/>
          <w:sz w:val="19"/>
          <w:szCs w:val="19"/>
          <w:color w:val="auto"/>
        </w:rPr>
        <w:t>Dr. Ausiello has served as a member of our board of directors since April 2012. As required by our corporate governance guidelines, Dr. Ausiello offered his resignation to the board of directors upon reaching the age of 75. After considering Dr. Ausiello’s many contributions to the board of directors and his specialized experience in areas critical to our company, our board of directors determined not to accept Dr. Ausiello’s resignation and is recommending</w:t>
      </w:r>
    </w:p>
    <w:p>
      <w:pPr>
        <w:spacing w:after="0" w:line="1" w:lineRule="exact"/>
        <w:rPr>
          <w:sz w:val="20"/>
          <w:szCs w:val="20"/>
          <w:color w:val="auto"/>
        </w:rPr>
      </w:pPr>
    </w:p>
    <w:p>
      <w:pPr>
        <w:ind w:right="1200"/>
        <w:spacing w:after="0" w:line="239" w:lineRule="auto"/>
        <w:rPr>
          <w:sz w:val="20"/>
          <w:szCs w:val="20"/>
          <w:color w:val="auto"/>
        </w:rPr>
      </w:pPr>
      <w:r>
        <w:rPr>
          <w:rFonts w:ascii="Arial" w:cs="Arial" w:eastAsia="Arial" w:hAnsi="Arial"/>
          <w:sz w:val="20"/>
          <w:szCs w:val="20"/>
          <w:color w:val="auto"/>
        </w:rPr>
        <w:t>Dr. Ausiello for re-election as a director at the 2024 annual meeting of stockholders.</w:t>
      </w:r>
    </w:p>
    <w:p>
      <w:pPr>
        <w:spacing w:after="0" w:line="199" w:lineRule="exact"/>
        <w:rPr>
          <w:sz w:val="20"/>
          <w:szCs w:val="20"/>
          <w:color w:val="auto"/>
        </w:rPr>
      </w:pPr>
    </w:p>
    <w:p>
      <w:pPr>
        <w:ind w:right="240"/>
        <w:spacing w:after="0" w:line="231" w:lineRule="auto"/>
        <w:rPr>
          <w:sz w:val="20"/>
          <w:szCs w:val="20"/>
          <w:color w:val="auto"/>
        </w:rPr>
      </w:pPr>
      <w:r>
        <w:rPr>
          <w:rFonts w:ascii="Arial" w:cs="Arial" w:eastAsia="Arial" w:hAnsi="Arial"/>
          <w:sz w:val="20"/>
          <w:szCs w:val="20"/>
          <w:color w:val="auto"/>
        </w:rPr>
        <w:t>Dr. Ausiello serves as the Director of the Center for Assessment Technology and Continuous Health (CATCH), Jackson Distinguished Professor of Clinical Medicine at Harvard Medical School and Physician-in-Chief Emeritus at Massachusetts General Hospital, and served as the Chief of Medicine at Massachusetts General Hospital from 1996 to April 2013. Dr. Ausiello was the President of the Association of American Physicians in 2006. He is a member of the National Academy of Medicine and the American Academy of Arts and Sciences.</w:t>
      </w:r>
    </w:p>
    <w:p>
      <w:pPr>
        <w:spacing w:after="0" w:line="200" w:lineRule="exact"/>
        <w:rPr>
          <w:sz w:val="20"/>
          <w:szCs w:val="20"/>
          <w:color w:val="auto"/>
        </w:rPr>
      </w:pPr>
    </w:p>
    <w:p>
      <w:pPr>
        <w:ind w:right="260"/>
        <w:spacing w:after="0" w:line="284" w:lineRule="auto"/>
        <w:rPr>
          <w:sz w:val="20"/>
          <w:szCs w:val="20"/>
          <w:color w:val="auto"/>
        </w:rPr>
      </w:pPr>
      <w:r>
        <w:rPr>
          <w:rFonts w:ascii="Arial" w:cs="Arial" w:eastAsia="Arial" w:hAnsi="Arial"/>
          <w:sz w:val="19"/>
          <w:szCs w:val="19"/>
          <w:color w:val="auto"/>
        </w:rPr>
        <w:t>He also serves as a director of Seres Therapeutics, Inc., Rani Therapeutics Holdings, Inc. and Spexis AG, and he formerly served as a director of Pfizer Inc.</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160"/>
        <w:spacing w:after="0" w:line="228" w:lineRule="auto"/>
        <w:rPr>
          <w:sz w:val="20"/>
          <w:szCs w:val="20"/>
          <w:color w:val="auto"/>
        </w:rPr>
      </w:pPr>
      <w:r>
        <w:rPr>
          <w:rFonts w:ascii="Arial" w:cs="Arial" w:eastAsia="Arial" w:hAnsi="Arial"/>
          <w:sz w:val="20"/>
          <w:szCs w:val="20"/>
          <w:color w:val="auto"/>
        </w:rPr>
        <w:t>Dr. Ausiello’s experience as a practicing physician, a scientist and a nationally recognized leader in academic medicine enables him to bring valuable insights to our board, particularly as we initiate additional clinical trials, advance our late stage clinical development pipeline and further develop and scale our global commercial operations. In addition, Dr. Ausiello oversaw a large research portfolio and an extensive research and education budget at Massachusetts General Hospital for nearly 20 years, giving him a valuable perspective on drug discovery and development. Through his previous work as the Chief of Medicine at Massachusetts General Hospital, Dr. Ausiello also brings significant leadership, oversight and finance experience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175260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spacing w:after="0" w:line="124"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26580" cy="3300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6580" cy="33000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6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D3060"/>
        </w:rPr>
        <w:t> Olivier Brandicourt, M.D.</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Independent Director</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Committees:</w:t>
      </w:r>
    </w:p>
    <w:p>
      <w:pPr>
        <w:spacing w:after="0" w:line="6" w:lineRule="exact"/>
        <w:rPr>
          <w:sz w:val="20"/>
          <w:szCs w:val="20"/>
          <w:color w:val="auto"/>
        </w:rPr>
      </w:pPr>
    </w:p>
    <w:p>
      <w:pPr>
        <w:ind w:left="660" w:right="180" w:hanging="197"/>
        <w:spacing w:after="0" w:line="237" w:lineRule="auto"/>
        <w:rPr>
          <w:sz w:val="20"/>
          <w:szCs w:val="20"/>
          <w:color w:val="auto"/>
        </w:rPr>
      </w:pPr>
      <w:r>
        <w:rPr>
          <w:rFonts w:ascii="Arial" w:cs="Arial" w:eastAsia="Arial" w:hAnsi="Arial"/>
          <w:sz w:val="19"/>
          <w:szCs w:val="19"/>
          <w:color w:val="auto"/>
        </w:rPr>
        <w:t>•   People, Culture and Compensation Committee</w:t>
      </w:r>
    </w:p>
    <w:p>
      <w:pPr>
        <w:ind w:left="480"/>
        <w:spacing w:after="0"/>
        <w:rPr>
          <w:sz w:val="20"/>
          <w:szCs w:val="20"/>
          <w:color w:val="auto"/>
        </w:rPr>
      </w:pPr>
      <w:r>
        <w:rPr>
          <w:rFonts w:ascii="Arial" w:cs="Arial" w:eastAsia="Arial" w:hAnsi="Arial"/>
          <w:sz w:val="20"/>
          <w:szCs w:val="20"/>
          <w:color w:val="auto"/>
        </w:rPr>
        <w:t>•   Audit Committee</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2020</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68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jc w:val="both"/>
        <w:ind w:right="220"/>
        <w:spacing w:after="0" w:line="237" w:lineRule="auto"/>
        <w:rPr>
          <w:sz w:val="20"/>
          <w:szCs w:val="20"/>
          <w:color w:val="auto"/>
        </w:rPr>
      </w:pPr>
      <w:r>
        <w:rPr>
          <w:rFonts w:ascii="Arial" w:cs="Arial" w:eastAsia="Arial" w:hAnsi="Arial"/>
          <w:sz w:val="19"/>
          <w:szCs w:val="19"/>
          <w:color w:val="auto"/>
        </w:rPr>
        <w:t>Dr. Brandicourt has served as a member of our board of directors since March 2020. Dr. Brandicourt has served as a Senior Advisor at Blackstone, a leading global investment firm, since December 2019. From April 2015 to August 2019, Dr. Brandicourt served as Chief Executive Officer and a member of the board of directors of Sanofi, a global biopharmaceutical company. Prior to Sanofi, he was Chief Executive Officer and Chair of Bayer HealthCare AG, a global life sciences company, from November 2013 to March 2015. Between 2000 and 2013,</w:t>
      </w:r>
    </w:p>
    <w:p>
      <w:pPr>
        <w:spacing w:after="0" w:line="2" w:lineRule="exact"/>
        <w:rPr>
          <w:sz w:val="20"/>
          <w:szCs w:val="20"/>
          <w:color w:val="auto"/>
        </w:rPr>
      </w:pPr>
    </w:p>
    <w:p>
      <w:pPr>
        <w:ind w:right="280"/>
        <w:spacing w:after="0" w:line="244" w:lineRule="auto"/>
        <w:rPr>
          <w:sz w:val="20"/>
          <w:szCs w:val="20"/>
          <w:color w:val="auto"/>
        </w:rPr>
      </w:pPr>
      <w:r>
        <w:rPr>
          <w:rFonts w:ascii="Arial" w:cs="Arial" w:eastAsia="Arial" w:hAnsi="Arial"/>
          <w:sz w:val="19"/>
          <w:szCs w:val="19"/>
          <w:color w:val="auto"/>
        </w:rPr>
        <w:t>Dr. Brandicourt served in various operational and managerial positions at Pfizer Inc., a global pharmaceutical company, including as a member of the Executive Leadership Team and President and General Manager of the Emerging Markets and Established Products business units, amongst other roles. Dr. Brandicourt also serves as a director of BenevolentAI and BeiGene, Ltd.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220"/>
        <w:spacing w:after="0" w:line="241" w:lineRule="auto"/>
        <w:rPr>
          <w:sz w:val="20"/>
          <w:szCs w:val="20"/>
          <w:color w:val="auto"/>
        </w:rPr>
      </w:pPr>
      <w:r>
        <w:rPr>
          <w:rFonts w:ascii="Arial" w:cs="Arial" w:eastAsia="Arial" w:hAnsi="Arial"/>
          <w:sz w:val="19"/>
          <w:szCs w:val="19"/>
          <w:color w:val="auto"/>
        </w:rPr>
        <w:t>Dr. Brandicourt has over 30 years of global commercial experience in the biopharmaceutical industry, including as a senior leader of three large pharmaceutical companies. Dr. Brandicourt’s operational, global commercial and senior management experience provides a valuable perspective to our board as we advance our late stage clinical development pipeline and further develop and scale our global commercial operations. Dr. Brandicourt’s extensive background in business management and global commercial operations also makes him an asset to our audit and PC&amp;C committees, on which 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173355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spacing w:after="0" w:line="122"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26580" cy="3575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6580" cy="35750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6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D3060"/>
        </w:rPr>
        <w:t> David E.I. Pyott</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Independent Director</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Committees:</w:t>
      </w:r>
    </w:p>
    <w:p>
      <w:pPr>
        <w:spacing w:after="0" w:line="6" w:lineRule="exact"/>
        <w:rPr>
          <w:sz w:val="20"/>
          <w:szCs w:val="20"/>
          <w:color w:val="auto"/>
        </w:rPr>
      </w:pPr>
    </w:p>
    <w:p>
      <w:pPr>
        <w:ind w:left="660" w:hanging="197"/>
        <w:spacing w:after="0" w:line="264" w:lineRule="auto"/>
        <w:rPr>
          <w:sz w:val="20"/>
          <w:szCs w:val="20"/>
          <w:color w:val="auto"/>
        </w:rPr>
      </w:pPr>
      <w:r>
        <w:rPr>
          <w:rFonts w:ascii="Arial" w:cs="Arial" w:eastAsia="Arial" w:hAnsi="Arial"/>
          <w:sz w:val="19"/>
          <w:szCs w:val="19"/>
          <w:color w:val="auto"/>
        </w:rPr>
        <w:t>•   Nominating and Corporate Governance Committee (Chair)</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2015</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70</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ind w:right="160"/>
        <w:spacing w:after="0" w:line="228" w:lineRule="auto"/>
        <w:rPr>
          <w:sz w:val="20"/>
          <w:szCs w:val="20"/>
          <w:color w:val="auto"/>
        </w:rPr>
      </w:pPr>
      <w:r>
        <w:rPr>
          <w:rFonts w:ascii="Arial" w:cs="Arial" w:eastAsia="Arial" w:hAnsi="Arial"/>
          <w:sz w:val="20"/>
          <w:szCs w:val="20"/>
          <w:color w:val="auto"/>
        </w:rPr>
        <w:t>Mr. Pyott served as the Chief Executive Officer of Allergan, Inc., a global specialty pharmaceutical and medical device company, from January 1998 to March 2015 and as the Chair of Allergan’s board of directors from March 2001 until March 2015. Prior to Allergan, Mr. Pyott served as the Head of the Nutrition Division at Novartis AG, a global healthcare company, and as a member of the Executive Committee of Switzerland-based Novartis AG. Mr. Pyott also serves as a director of BioMarin Pharmaceutical Inc. and Pliant Therapeutics, Inc. and as a member of the Supervisory Board of Royal Philips in the Netherlands. Mr. Pyott formerly served as a director of Avery Dennison Corporation.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260"/>
        <w:spacing w:after="0" w:line="227" w:lineRule="auto"/>
        <w:rPr>
          <w:sz w:val="20"/>
          <w:szCs w:val="20"/>
          <w:color w:val="auto"/>
        </w:rPr>
      </w:pPr>
      <w:r>
        <w:rPr>
          <w:rFonts w:ascii="Arial" w:cs="Arial" w:eastAsia="Arial" w:hAnsi="Arial"/>
          <w:sz w:val="20"/>
          <w:szCs w:val="20"/>
          <w:color w:val="auto"/>
        </w:rPr>
        <w:t>Mr. Pyott possesses over 30 years of operational, commercial and senior management experience, including his successful tenure as the Chief Executive Officer and Chair of the board of directors at Allergan, where he transformed the company from a small eye care business to a global specialty pharmaceutical and medical device company. His in-depth knowledge of pharmaceutical growth and commercial expansion, combined with his entrepreneurial leadership experience in the healthcare industry, position him well to serve as a member of our board and make significant contributions as we advance our late stage clinical development pipeline and further develop and scale our global commercial operations. Mr. Pyott’s substantial public company governance experience from serving on the boards of several large public companies also makes him an asset to our board and to our nominating and corporate governance committee, which he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178435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440"/>
            <w:col w:w="7280"/>
          </w:cols>
          <w:pgMar w:left="320" w:top="482" w:right="439" w:bottom="1440" w:gutter="0" w:footer="0" w:header="0"/>
          <w:type w:val="continuous"/>
        </w:sectPr>
      </w:pPr>
    </w:p>
    <w:p>
      <w:pPr>
        <w:spacing w:after="0" w:line="129"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26580" cy="44145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6580" cy="44145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6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D3060"/>
        </w:rPr>
        <w:t> Peter N. Kellogg</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Independent Director</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Committees:</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19"/>
          <w:szCs w:val="19"/>
          <w:color w:val="auto"/>
        </w:rPr>
        <w:t>•   Audit Committee (Chair)</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2023</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67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ind w:right="260"/>
        <w:spacing w:after="0" w:line="227" w:lineRule="auto"/>
        <w:rPr>
          <w:sz w:val="20"/>
          <w:szCs w:val="20"/>
          <w:color w:val="auto"/>
        </w:rPr>
      </w:pPr>
      <w:r>
        <w:rPr>
          <w:rFonts w:ascii="Arial" w:cs="Arial" w:eastAsia="Arial" w:hAnsi="Arial"/>
          <w:sz w:val="20"/>
          <w:szCs w:val="20"/>
          <w:color w:val="auto"/>
        </w:rPr>
        <w:t>Mr. Kellogg served as Executive Vice President and Chief Corporate Strategy Officer of Celgene Corporation, a global biopharmaceutical company, from 2018 to 2019, and had previously served as Executive Vice President and Chief Financial Officer of Celgene since August 2014. Prior to that, Mr. Kellogg was Chief Financial Officer and Executive Vice President of Merck &amp; Co. Inc., a global biopharmaceutical company, from 2007 to 2014. From 2000 to 2007, Mr. Kellogg served as Executive Vice President, Finance and Chief Financial Officer at Biogen, Inc., a biotechnology company. Before that, he served as Senior Vice President, PepsiCo E-Commerce at PepsiCo Inc., a global food and beverage company, from March to July 2000 and as Senior Vice President and Chief Financial Officer, Frito-Lay International, a snack food manufacturer, from 1998 to 2000.</w:t>
      </w:r>
    </w:p>
    <w:p>
      <w:pPr>
        <w:spacing w:after="0" w:line="207" w:lineRule="exact"/>
        <w:rPr>
          <w:sz w:val="20"/>
          <w:szCs w:val="20"/>
          <w:color w:val="auto"/>
        </w:rPr>
      </w:pPr>
    </w:p>
    <w:p>
      <w:pPr>
        <w:ind w:right="420"/>
        <w:spacing w:after="0" w:line="257" w:lineRule="auto"/>
        <w:rPr>
          <w:sz w:val="20"/>
          <w:szCs w:val="20"/>
          <w:color w:val="auto"/>
        </w:rPr>
      </w:pPr>
      <w:r>
        <w:rPr>
          <w:rFonts w:ascii="Arial" w:cs="Arial" w:eastAsia="Arial" w:hAnsi="Arial"/>
          <w:sz w:val="20"/>
          <w:szCs w:val="20"/>
          <w:color w:val="auto"/>
        </w:rPr>
        <w:t>Mr. Kellogg also serves as a director of Idorsia Ltd. and previously served as a director on the board of Yield10 Bioscience.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220"/>
        <w:spacing w:after="0" w:line="239" w:lineRule="auto"/>
        <w:rPr>
          <w:sz w:val="20"/>
          <w:szCs w:val="20"/>
          <w:color w:val="auto"/>
        </w:rPr>
      </w:pPr>
      <w:r>
        <w:rPr>
          <w:rFonts w:ascii="Arial" w:cs="Arial" w:eastAsia="Arial" w:hAnsi="Arial"/>
          <w:sz w:val="19"/>
          <w:szCs w:val="19"/>
          <w:color w:val="auto"/>
        </w:rPr>
        <w:t>Mr. Kellogg is a proven business, strategic and financial leader who brings to our board over 20 years of experience leading and scaling biotechnology companies and driving strategic transactions. Mr. Kellogg’s background includes executive management roles with responsibility for core financial functions, including investor relations, corporate strategy, business development and alliance management. Mr. Kellogg oversaw Biogen’s mergers with IDEC (Rituxan share) and Fumapharm (Tecfidera), Merck’s acquisition of Schering-Plough (Keytruda), and Celgene’s sale to Bristol-Myers Squibb. Mr. Kellogg’s financial expertise and experience in strategic transactions and organizational scaling will help advance our leading scientific capabilities and commercial performance as we advance our late stage clinical development pipeline and further develop and scale our global commercial operations, and position him well to serve as a member of our board and our audit committee, which he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177800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spacing w:after="0" w:line="129"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1D3060"/>
        </w:rPr>
        <w:t>Class III—Directors Whose Terms Expire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173355</wp:posOffset>
            </wp:positionV>
            <wp:extent cx="6926580" cy="3437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6580" cy="3437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1D3060"/>
        </w:rPr>
        <w:t> Carolyn R. Bertozzi, Ph.D.</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Independent Director</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Committees:</w:t>
      </w:r>
    </w:p>
    <w:p>
      <w:pPr>
        <w:spacing w:after="0" w:line="6" w:lineRule="exact"/>
        <w:rPr>
          <w:sz w:val="20"/>
          <w:szCs w:val="20"/>
          <w:color w:val="auto"/>
        </w:rPr>
      </w:pPr>
    </w:p>
    <w:p>
      <w:pPr>
        <w:ind w:left="660" w:right="140" w:hanging="197"/>
        <w:spacing w:after="0" w:line="237" w:lineRule="auto"/>
        <w:rPr>
          <w:sz w:val="20"/>
          <w:szCs w:val="20"/>
          <w:color w:val="auto"/>
        </w:rPr>
      </w:pPr>
      <w:r>
        <w:rPr>
          <w:rFonts w:ascii="Arial" w:cs="Arial" w:eastAsia="Arial" w:hAnsi="Arial"/>
          <w:sz w:val="19"/>
          <w:szCs w:val="19"/>
          <w:color w:val="auto"/>
        </w:rPr>
        <w:t>•   Nominating and Corporate Governance Committee</w:t>
      </w:r>
    </w:p>
    <w:p>
      <w:pPr>
        <w:ind w:left="660" w:right="320" w:hanging="197"/>
        <w:spacing w:after="0" w:line="239" w:lineRule="auto"/>
        <w:rPr>
          <w:sz w:val="20"/>
          <w:szCs w:val="20"/>
          <w:color w:val="auto"/>
        </w:rPr>
      </w:pPr>
      <w:r>
        <w:rPr>
          <w:rFonts w:ascii="Arial" w:cs="Arial" w:eastAsia="Arial" w:hAnsi="Arial"/>
          <w:sz w:val="20"/>
          <w:szCs w:val="20"/>
          <w:color w:val="auto"/>
        </w:rPr>
        <w:t>•   Science and Technology Committee</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2023</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57</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Dr. Bertozzi has served as the Anne T. and Robert M. Bass Professor of Chemistry at Stanford University since 2015 and as the Baker Family Director of Stanford’s Sarafan ChEM-H Institute since 2021. Since 2000, Dr. Bertozzi has also served as an Investigator at the Howard Hughes Medical Institute. From 1996 to 2015, she was a professor of Chemistry and Molecular and Cell Biology at the University of California, Berkeley. Dr. Bertozzi was jointly awarded the 2022 Nobel Prize in Chemistry and the 2022 Wolf Prize in Chemistry. She is a member of the National Academy of Sciences, the National Academy of Medicine and National Academy of Inventors, as well as the Royal Society (UK), Accademia Nazionale dei Lincei and the German Academy of Sciences Leopoldina. Dr. Bertozzi also serves as a director of OmniAb, Inc. and previously served as a director of Eli Lilly and Company.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180"/>
        <w:spacing w:after="0" w:line="228" w:lineRule="auto"/>
        <w:rPr>
          <w:sz w:val="20"/>
          <w:szCs w:val="20"/>
          <w:color w:val="auto"/>
        </w:rPr>
      </w:pPr>
      <w:r>
        <w:rPr>
          <w:rFonts w:ascii="Arial" w:cs="Arial" w:eastAsia="Arial" w:hAnsi="Arial"/>
          <w:sz w:val="20"/>
          <w:szCs w:val="20"/>
          <w:color w:val="auto"/>
        </w:rPr>
        <w:t>Dr. Bertozzi is a pioneer for emerging technology and has founded several biopharmaceutical companies and guided more than a dozen academic and professional organizations and life sciences companies in leadership and board positions. Her deep technical and leadership expertise, as well as her corporate governance experience in the biopharmaceutical industry enables her to make significant contributions to our board, and nominating and corporate governance and science and technology committees, on which she serves, as we initiate additional clinical trials, advance our late stage clinical development pipeline, and further develop and scale our global 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176530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spacing w:after="0" w:line="127"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26580" cy="5237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6580" cy="52374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6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1D3060"/>
        </w:rPr>
        <w:t> Margaret A. Hamburg, M.D.</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Independent Director</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Committees:</w:t>
      </w:r>
    </w:p>
    <w:p>
      <w:pPr>
        <w:spacing w:after="0" w:line="6" w:lineRule="exact"/>
        <w:rPr>
          <w:sz w:val="20"/>
          <w:szCs w:val="20"/>
          <w:color w:val="auto"/>
        </w:rPr>
      </w:pPr>
    </w:p>
    <w:p>
      <w:pPr>
        <w:ind w:left="660" w:right="140" w:hanging="197"/>
        <w:spacing w:after="0" w:line="264" w:lineRule="auto"/>
        <w:rPr>
          <w:sz w:val="20"/>
          <w:szCs w:val="20"/>
          <w:color w:val="auto"/>
        </w:rPr>
      </w:pPr>
      <w:r>
        <w:rPr>
          <w:rFonts w:ascii="Arial" w:cs="Arial" w:eastAsia="Arial" w:hAnsi="Arial"/>
          <w:sz w:val="19"/>
          <w:szCs w:val="19"/>
          <w:color w:val="auto"/>
        </w:rPr>
        <w:t>•   Nominating and Corporate Governance Committee</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2019</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68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ind w:right="180"/>
        <w:spacing w:after="0" w:line="239" w:lineRule="auto"/>
        <w:rPr>
          <w:sz w:val="20"/>
          <w:szCs w:val="20"/>
          <w:color w:val="auto"/>
        </w:rPr>
      </w:pPr>
      <w:r>
        <w:rPr>
          <w:rFonts w:ascii="Arial" w:cs="Arial" w:eastAsia="Arial" w:hAnsi="Arial"/>
          <w:sz w:val="19"/>
          <w:szCs w:val="19"/>
          <w:color w:val="auto"/>
        </w:rPr>
        <w:t>Dr. Hamburg currently serves as Co-President (volunteer) of the InterAcademy Partnership, and as vice chair of the President Biden’s Intelligence Advisory Board. From May 2009 to April 2015, Dr. Hamburg served as the Commissioner of the U.S. Food and Drug Administration (FDA). Most recently, Dr. Hamburg was Interim Vice President, Global Biological Policy and Programs at the Nuclear Threat Initiative. Dr. Hamburg completed a five-year term as Foreign Secretary of the National Academy of Medicine, serving from April 2015 to July 2020 and completed her service as President/Chair of the Board of the American Association for the Advancement of Science (AAAS) in February 2020. From January 2001 to May 2009, Dr. Hamburg worked for the Nuclear Threat Initiative, first as Vice President for biological programs, then as Senior Scientist. From November 1997 to January 2001, Dr. Hamburg served as the Assistant Secretary for Planning and Evaluation in the Department of Health and Human Services. Prior to that, she was New York City’s health commissioner.</w:t>
      </w:r>
    </w:p>
    <w:p>
      <w:pPr>
        <w:spacing w:after="0" w:line="203" w:lineRule="exact"/>
        <w:rPr>
          <w:sz w:val="20"/>
          <w:szCs w:val="20"/>
          <w:color w:val="auto"/>
        </w:rPr>
      </w:pPr>
    </w:p>
    <w:p>
      <w:pPr>
        <w:ind w:right="160"/>
        <w:spacing w:after="0" w:line="231" w:lineRule="auto"/>
        <w:rPr>
          <w:sz w:val="20"/>
          <w:szCs w:val="20"/>
          <w:color w:val="auto"/>
        </w:rPr>
      </w:pPr>
      <w:r>
        <w:rPr>
          <w:rFonts w:ascii="Arial" w:cs="Arial" w:eastAsia="Arial" w:hAnsi="Arial"/>
          <w:sz w:val="20"/>
          <w:szCs w:val="20"/>
          <w:color w:val="auto"/>
        </w:rPr>
        <w:t>Dr. Hamburg currently serves on a number of non-profit boards and advisory committees. She is also a Commissioner on the Bipartisan Commission on Biodefense, and a member of the Foreign Affairs Policy Board to the Secretary of State, the Global Health Scientific Advisory Committee for the Bill and Melinda Gates Foundation, and the Harvard Medical School Board of Fellows. She currently chairs the Boards of The Commonwealth Fund, Ending Pandemics and the Advisory Board for the Center on Regulatory Excellence, Duke-NUS School of Medicine in Singapore.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400"/>
        <w:spacing w:after="0" w:line="237" w:lineRule="auto"/>
        <w:rPr>
          <w:sz w:val="20"/>
          <w:szCs w:val="20"/>
          <w:color w:val="auto"/>
        </w:rPr>
      </w:pPr>
      <w:r>
        <w:rPr>
          <w:rFonts w:ascii="Arial" w:cs="Arial" w:eastAsia="Arial" w:hAnsi="Arial"/>
          <w:sz w:val="19"/>
          <w:szCs w:val="19"/>
          <w:color w:val="auto"/>
        </w:rPr>
        <w:t>Dr. Hamburg has an extensive background in matters of science, medicine, public health and regulatory issues, having held policy positions in the Obama, Clinton and Reagan administrations, including serving as the Commissioner of the FDA from May 2009 to April 2015. She has performed basic and clinical research at the National Institutes of Health and Rockefeller University.</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20"/>
          <w:szCs w:val="20"/>
          <w:color w:val="auto"/>
        </w:rPr>
        <w:t>Dr. Hamburg’s distinguished career and expertise in the field brings a unique regulatory and policy perspective, as well as valuable scientific and operational expertise, to our board and our nominating and corporate governance committee as we initiate additional clinical trials, advance our late stage clinical development pipeline and further develop and scale our global 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173990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spacing w:after="0" w:line="123"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26580" cy="3455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6580" cy="345503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6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D3060"/>
        </w:rPr>
        <w:t> Colleen F. Reitan</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Independent Director</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Committees:</w:t>
      </w:r>
    </w:p>
    <w:p>
      <w:pPr>
        <w:ind w:left="480"/>
        <w:spacing w:after="0" w:line="231" w:lineRule="auto"/>
        <w:rPr>
          <w:sz w:val="20"/>
          <w:szCs w:val="20"/>
          <w:color w:val="auto"/>
        </w:rPr>
      </w:pPr>
      <w:r>
        <w:rPr>
          <w:rFonts w:ascii="Arial" w:cs="Arial" w:eastAsia="Arial" w:hAnsi="Arial"/>
          <w:sz w:val="20"/>
          <w:szCs w:val="20"/>
          <w:color w:val="auto"/>
        </w:rPr>
        <w:t>•   Audit Committee</w:t>
      </w:r>
    </w:p>
    <w:p>
      <w:pPr>
        <w:spacing w:after="0" w:line="1" w:lineRule="exact"/>
        <w:rPr>
          <w:sz w:val="20"/>
          <w:szCs w:val="20"/>
          <w:color w:val="auto"/>
        </w:rPr>
      </w:pPr>
    </w:p>
    <w:p>
      <w:pPr>
        <w:ind w:left="660" w:hanging="197"/>
        <w:spacing w:after="0" w:line="264" w:lineRule="auto"/>
        <w:rPr>
          <w:sz w:val="20"/>
          <w:szCs w:val="20"/>
          <w:color w:val="auto"/>
        </w:rPr>
      </w:pPr>
      <w:r>
        <w:rPr>
          <w:rFonts w:ascii="Arial" w:cs="Arial" w:eastAsia="Arial" w:hAnsi="Arial"/>
          <w:sz w:val="19"/>
          <w:szCs w:val="19"/>
          <w:color w:val="auto"/>
        </w:rPr>
        <w:t>•   People, Culture and Compensation Committee (Chair)</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2018</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64</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ind w:right="320"/>
        <w:spacing w:after="0" w:line="229" w:lineRule="auto"/>
        <w:rPr>
          <w:sz w:val="20"/>
          <w:szCs w:val="20"/>
          <w:color w:val="auto"/>
        </w:rPr>
      </w:pPr>
      <w:r>
        <w:rPr>
          <w:rFonts w:ascii="Arial" w:cs="Arial" w:eastAsia="Arial" w:hAnsi="Arial"/>
          <w:sz w:val="20"/>
          <w:szCs w:val="20"/>
          <w:color w:val="auto"/>
        </w:rPr>
        <w:t>Ms. Reitan served as President of Plan Operations of Health Care Service Corporation, or HCSC, the largest customer-owned health insurer in the United States and an independent licensee of Blue Cross and Blue Shield Association, from October 2015 to April 2018. While at HCSC, she also served as the Chief Operating Officer from January 2009 to January 2015. Previously, Ms. Reitan served as President and Chief Operating Officer of Blue Cross Blue Shield of Minnesota from 2006 to 2008.</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Ms. Reitan also serves as a director of Myriad Genetics,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Ms. Reitan brings to our board over 30 years of experience in the healthcare payor and reimbursement market, including most recently as President of Plan Operations of HCSC. As we continue to advance our late stage clinical development pipeline and further develop and scale our global commercial operations, Ms. Reitan’s experience with provider network management, strategic planning and business development provide valuable insight to our board and management as we continue to navigate the increasingly complex healthcare payor and reimbursement market and to advance our ongoing commitment to provide innovative value-based agreements and deliver fair value to payors and providers. Ms. Reitan’s extensive background in business management also makes her an asset to our audit committee and our PC&amp;C committee, which she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179070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240"/>
            <w:col w:w="7280"/>
          </w:cols>
          <w:pgMar w:left="320" w:top="482" w:right="439" w:bottom="1440" w:gutter="0" w:footer="0" w:header="0"/>
          <w:type w:val="continuous"/>
        </w:sectPr>
      </w:pPr>
    </w:p>
    <w:p>
      <w:pPr>
        <w:spacing w:after="0" w:line="131"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26580" cy="48260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6580" cy="482600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6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D3060"/>
        </w:rPr>
        <w:t> Amy W. Schulman</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Chair of the Board</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Committees:</w:t>
      </w:r>
    </w:p>
    <w:p>
      <w:pPr>
        <w:spacing w:after="0" w:line="6" w:lineRule="exact"/>
        <w:rPr>
          <w:sz w:val="20"/>
          <w:szCs w:val="20"/>
          <w:color w:val="auto"/>
        </w:rPr>
      </w:pPr>
    </w:p>
    <w:p>
      <w:pPr>
        <w:ind w:left="660" w:right="140" w:hanging="197"/>
        <w:spacing w:after="0" w:line="264" w:lineRule="auto"/>
        <w:rPr>
          <w:sz w:val="20"/>
          <w:szCs w:val="20"/>
          <w:color w:val="auto"/>
        </w:rPr>
      </w:pPr>
      <w:r>
        <w:rPr>
          <w:rFonts w:ascii="Arial" w:cs="Arial" w:eastAsia="Arial" w:hAnsi="Arial"/>
          <w:sz w:val="19"/>
          <w:szCs w:val="19"/>
          <w:color w:val="auto"/>
        </w:rPr>
        <w:t>•   Nominating and Corporate Governance Committee</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2014</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63</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ind w:right="220"/>
        <w:spacing w:after="0" w:line="237" w:lineRule="auto"/>
        <w:rPr>
          <w:sz w:val="20"/>
          <w:szCs w:val="20"/>
          <w:color w:val="auto"/>
        </w:rPr>
      </w:pPr>
      <w:r>
        <w:rPr>
          <w:rFonts w:ascii="Arial" w:cs="Arial" w:eastAsia="Arial" w:hAnsi="Arial"/>
          <w:sz w:val="19"/>
          <w:szCs w:val="19"/>
          <w:color w:val="auto"/>
        </w:rPr>
        <w:t>Ms. Schulman has served as a member of our board of directors since July 2014 and has served as chair of our board since January 2023. Prior to that, she served as our lead independent director from August 2021 to January 2023.</w:t>
      </w:r>
    </w:p>
    <w:p>
      <w:pPr>
        <w:spacing w:after="0" w:line="1" w:lineRule="exact"/>
        <w:rPr>
          <w:sz w:val="20"/>
          <w:szCs w:val="20"/>
          <w:color w:val="auto"/>
        </w:rPr>
      </w:pPr>
    </w:p>
    <w:p>
      <w:pPr>
        <w:ind w:right="200"/>
        <w:spacing w:after="0" w:line="227" w:lineRule="auto"/>
        <w:rPr>
          <w:sz w:val="20"/>
          <w:szCs w:val="20"/>
          <w:color w:val="auto"/>
        </w:rPr>
      </w:pPr>
      <w:r>
        <w:rPr>
          <w:rFonts w:ascii="Arial" w:cs="Arial" w:eastAsia="Arial" w:hAnsi="Arial"/>
          <w:sz w:val="20"/>
          <w:szCs w:val="20"/>
          <w:color w:val="auto"/>
        </w:rPr>
        <w:t>Ms. Schulman joined Polaris Partners, a venture capital firm, in August 2014 where she is currently a managing partner. Ms. Schulman also serves as Executive Chair of Lyndra Therapeutics, Inc., a biotechnology company, where she was co-founder and the company’s initial Chief Executive Officer from 2015 to 2019. She also manages the LS Polaris Innovation Fund, which was formed in 2017. From July 2014 to July 2021, Ms. Schulman was a senior lecturer at Harvard Business School. Ms. Schulman was previously the Executive Vice President and General Counsel of Pfizer Inc., a global pharmaceutical company, from May 2008 to July 2014, where she also served as the Business Unit Lead for Pfizer’s Consumer Healthcare business from 2012 to 2013. Before joining Pfizer, she was a partner at DLA Piper, a global law firm.</w:t>
      </w:r>
    </w:p>
    <w:p>
      <w:pPr>
        <w:spacing w:after="0" w:line="208" w:lineRule="exact"/>
        <w:rPr>
          <w:sz w:val="20"/>
          <w:szCs w:val="20"/>
          <w:color w:val="auto"/>
        </w:rPr>
      </w:pPr>
    </w:p>
    <w:p>
      <w:pPr>
        <w:ind w:right="560"/>
        <w:spacing w:after="0" w:line="260" w:lineRule="auto"/>
        <w:rPr>
          <w:sz w:val="20"/>
          <w:szCs w:val="20"/>
          <w:color w:val="auto"/>
        </w:rPr>
      </w:pPr>
      <w:r>
        <w:rPr>
          <w:rFonts w:ascii="Arial" w:cs="Arial" w:eastAsia="Arial" w:hAnsi="Arial"/>
          <w:sz w:val="19"/>
          <w:szCs w:val="19"/>
          <w:color w:val="auto"/>
        </w:rPr>
        <w:t>Ms. Schulman also serves as a director of Fractyl Health, Inc. and previously served as a director of SQZ Biotech, Cyclerion Therapeutics, Inc., Hudson Executive Investment Corp. and Hudson Executive Investment Corp. II.</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Ms. Schulman’s extensive industry and leadership experience enable her to make significant contributions as chair of our board. Her unique qualifications in a number of critical areas, including commercial strategy and capability building, as well as legal, regulatory and transactional considerations, brings to our board a diverse background. In addition, her experience at Pfizer as Executive Sponsor of Pfizer’s Global Women’s Council, where she helped shape efforts to increase diversity and expand opportunities for both women and men across the company, has been an important resource as we continue to grow our workforce and enhance our DE&amp;I initiatives to support the advancement of our late stage clinical development pipeline and further develop and scale our global commercial operations. This experience also provides a unique and critical perspective for Ms. Schulman in her role as a member of our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178435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spacing w:after="0" w:line="129"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1D3060"/>
        </w:rPr>
        <w:t>Class I—Directors Whose Terms Expire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173355</wp:posOffset>
            </wp:positionV>
            <wp:extent cx="6926580" cy="4705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6580" cy="47059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D3060"/>
        </w:rPr>
        <w:t> Michael W. Bonney</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9"/>
          <w:szCs w:val="19"/>
          <w:color w:val="auto"/>
        </w:rPr>
        <w:t>Non-Independent Director</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2014</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65</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Mr. Bonney has served as a member of our board of directors since December 2014 and previously served as chair of our board from December 2015 to August 2021 and as executive chair of our board from August 2021 to January 2023.</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Mr. Bonney previously served as the Chair of the board of directors of Kaleido Biosciences, Inc., a biotechnology company, from June 2017 until August 2021. Between August 2018 and October 2020, he served as Kaleido’s Executive Chair, and served as Kaleido’s Chief Executive Officer from June 2017 until August 2018. Mr. Bonney was a Partner at Third Rock Ventures, a healthcare venture firm, from January to July 2016. Mr. Bonney previously served as the Chief Executive Officer and a member of the board of directors of Cubist Pharmaceuticals, Inc., a biopharmaceutical company (now a wholly-owned subsidiary of Merck &amp; Co., Inc.), from June 2003 until his retirement in December 2014. From January 2002 to June 2003, he served as Cubist’s President and Chief Operating Officer.</w:t>
      </w:r>
    </w:p>
    <w:p>
      <w:pPr>
        <w:spacing w:after="0" w:line="208" w:lineRule="exact"/>
        <w:rPr>
          <w:sz w:val="20"/>
          <w:szCs w:val="20"/>
          <w:color w:val="auto"/>
        </w:rPr>
      </w:pPr>
    </w:p>
    <w:p>
      <w:pPr>
        <w:ind w:right="340"/>
        <w:spacing w:after="0" w:line="237" w:lineRule="auto"/>
        <w:rPr>
          <w:sz w:val="20"/>
          <w:szCs w:val="20"/>
          <w:color w:val="auto"/>
        </w:rPr>
      </w:pPr>
      <w:r>
        <w:rPr>
          <w:rFonts w:ascii="Arial" w:cs="Arial" w:eastAsia="Arial" w:hAnsi="Arial"/>
          <w:sz w:val="20"/>
          <w:szCs w:val="20"/>
          <w:color w:val="auto"/>
        </w:rPr>
        <w:t>Mr. Bonney previously served as the Chair of the board of directors of Magenta Therapeutics, Inc. and as a director of Bristol-Myers Squibb Company, Celgene Corporation (which was acquired by Bristol-Myers Squibb), Syros Pharmaceuticals, Inc. and Sarepta Therapeutics, Inc.</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280"/>
        <w:spacing w:after="0" w:line="228" w:lineRule="auto"/>
        <w:rPr>
          <w:sz w:val="20"/>
          <w:szCs w:val="20"/>
          <w:color w:val="auto"/>
        </w:rPr>
      </w:pPr>
      <w:r>
        <w:rPr>
          <w:rFonts w:ascii="Arial" w:cs="Arial" w:eastAsia="Arial" w:hAnsi="Arial"/>
          <w:sz w:val="20"/>
          <w:szCs w:val="20"/>
          <w:color w:val="auto"/>
        </w:rPr>
        <w:t>Mr. Bonney possesses over 30 years of operational, commercial and senior management experience in the biopharmaceutical industry, including his long tenure as the Chief Executive Officer and a director of Cubist. Mr. Bonney also has a keen understanding of the interplay between management and the board and is well-versed in the current best practices in corporate governance and ethics and compliance matters. His breadth of experience and deep commercial background enable him to make significant contributions to our board as we continue to enhance our ethics and compliance function, advance our late stage clinical development pipeline and further develop and scale our global 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175260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spacing w:after="0" w:line="124"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26580" cy="45516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6580" cy="45516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65" w:lineRule="exact"/>
        <w:rPr>
          <w:sz w:val="20"/>
          <w:szCs w:val="20"/>
          <w:color w:val="auto"/>
        </w:rPr>
      </w:pPr>
    </w:p>
    <w:p>
      <w:pPr>
        <w:ind w:left="280" w:right="540"/>
        <w:spacing w:after="0" w:line="253" w:lineRule="auto"/>
        <w:rPr>
          <w:sz w:val="20"/>
          <w:szCs w:val="20"/>
          <w:color w:val="auto"/>
        </w:rPr>
      </w:pPr>
      <w:r>
        <w:rPr>
          <w:rFonts w:ascii="Arial" w:cs="Arial" w:eastAsia="Arial" w:hAnsi="Arial"/>
          <w:sz w:val="21"/>
          <w:szCs w:val="21"/>
          <w:b w:val="1"/>
          <w:bCs w:val="1"/>
          <w:color w:val="1D3060"/>
        </w:rPr>
        <w:t> Yvonne L. Greenstreet  MBChB, MBA</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Chief Executive Officer</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2021</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61</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ind w:right="280"/>
        <w:spacing w:after="0" w:line="239" w:lineRule="auto"/>
        <w:rPr>
          <w:sz w:val="20"/>
          <w:szCs w:val="20"/>
          <w:color w:val="auto"/>
        </w:rPr>
      </w:pPr>
      <w:r>
        <w:rPr>
          <w:rFonts w:ascii="Arial" w:cs="Arial" w:eastAsia="Arial" w:hAnsi="Arial"/>
          <w:sz w:val="19"/>
          <w:szCs w:val="19"/>
          <w:color w:val="auto"/>
        </w:rPr>
        <w:t>Dr. Greenstreet has served as our Chief Executive Officer since January 2022 and as a member of our board of directors since October 2021. Dr. Greenstreet previously served as our President and Chief Operating Officer from October 2020 until January 2022 and was our Chief Operating Officer from September 2016 to October 2020. Prior to joining Alnylam, Dr. Greenstreet served as the founder and Managing Director of Highgate LLC from January 2014 to August 2016. Prior to that time, Dr. Greenstreet served as Senior Vice President and Head of Medicines Development at Pfizer Inc., or Pfizer, a multinational pharmaceutical company, from December 2010 to November 2013. Prior to joining Pfizer, Dr. Greenstreet worked for 18 years at GlaxoSmithKline plc, or GSK, a multinational pharmaceutical, biologics, vaccines and consumer healthcare company, where she served in various positions, most recently as Senior Vice President and Chief of Strategy for Research and Development and as a member of GSK’s Product Management Board.</w:t>
      </w:r>
    </w:p>
    <w:p>
      <w:pPr>
        <w:spacing w:after="0" w:line="203" w:lineRule="exact"/>
        <w:rPr>
          <w:sz w:val="20"/>
          <w:szCs w:val="20"/>
          <w:color w:val="auto"/>
        </w:rPr>
      </w:pPr>
    </w:p>
    <w:p>
      <w:pPr>
        <w:ind w:right="240"/>
        <w:spacing w:after="0" w:line="237" w:lineRule="auto"/>
        <w:rPr>
          <w:sz w:val="20"/>
          <w:szCs w:val="20"/>
          <w:color w:val="auto"/>
        </w:rPr>
      </w:pPr>
      <w:r>
        <w:rPr>
          <w:rFonts w:ascii="Arial" w:cs="Arial" w:eastAsia="Arial" w:hAnsi="Arial"/>
          <w:sz w:val="20"/>
          <w:szCs w:val="20"/>
          <w:color w:val="auto"/>
        </w:rPr>
        <w:t>Dr. Greenstreet currently serves on the Scientific Advisory Committee of the Bill and Melinda Gates Foundation and serves as a director of The American Funds. Dr. Greenstreet previously served on the boards of directors of argenx SE and Pacira BioSciences, Inc.</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200"/>
        <w:spacing w:after="0" w:line="225" w:lineRule="auto"/>
        <w:rPr>
          <w:sz w:val="20"/>
          <w:szCs w:val="20"/>
          <w:color w:val="auto"/>
        </w:rPr>
      </w:pPr>
      <w:r>
        <w:rPr>
          <w:rFonts w:ascii="Arial" w:cs="Arial" w:eastAsia="Arial" w:hAnsi="Arial"/>
          <w:sz w:val="20"/>
          <w:szCs w:val="20"/>
          <w:color w:val="auto"/>
        </w:rPr>
        <w:t>Dr. Greenstreet has over 25 years of experience in the biopharmaceutical industry, driving strategy and innovation, bringing transformative medicines to patients, and building successful businesses in the U.S., Europe and globally. Dr. Greenstreet’s significant experience in senior management roles at large pharmaceutical companies and her extensive expertise in drug development and commercialization bring a valuable perspective to our board. In addition,</w:t>
      </w:r>
    </w:p>
    <w:p>
      <w:pPr>
        <w:spacing w:after="0" w:line="2" w:lineRule="exact"/>
        <w:rPr>
          <w:sz w:val="20"/>
          <w:szCs w:val="20"/>
          <w:color w:val="auto"/>
        </w:rPr>
      </w:pPr>
    </w:p>
    <w:p>
      <w:pPr>
        <w:ind w:right="260"/>
        <w:spacing w:after="0" w:line="208" w:lineRule="auto"/>
        <w:rPr>
          <w:sz w:val="20"/>
          <w:szCs w:val="20"/>
          <w:color w:val="auto"/>
        </w:rPr>
      </w:pPr>
      <w:r>
        <w:rPr>
          <w:rFonts w:ascii="Arial" w:cs="Arial" w:eastAsia="Arial" w:hAnsi="Arial"/>
          <w:sz w:val="20"/>
          <w:szCs w:val="20"/>
          <w:color w:val="auto"/>
        </w:rPr>
        <w:t xml:space="preserve">Dr. Greenstreet’s in-depth knowledge of our company, gained during her various senior management roles within the company, uniquely enable her to lead our </w:t>
      </w:r>
      <w:r>
        <w:rPr>
          <w:rFonts w:ascii="Arial" w:cs="Arial" w:eastAsia="Arial" w:hAnsi="Arial"/>
          <w:sz w:val="20"/>
          <w:szCs w:val="20"/>
          <w:i w:val="1"/>
          <w:iCs w:val="1"/>
          <w:color w:val="auto"/>
        </w:rPr>
        <w:t>Alnylam P</w:t>
      </w:r>
      <w:r>
        <w:rPr>
          <w:rFonts w:ascii="Arial" w:cs="Arial" w:eastAsia="Arial" w:hAnsi="Arial"/>
          <w:sz w:val="29"/>
          <w:szCs w:val="29"/>
          <w:i w:val="1"/>
          <w:iCs w:val="1"/>
          <w:color w:val="auto"/>
          <w:vertAlign w:val="superscript"/>
        </w:rPr>
        <w:t>5</w:t>
      </w:r>
      <w:r>
        <w:rPr>
          <w:rFonts w:ascii="Arial" w:cs="Arial" w:eastAsia="Arial" w:hAnsi="Arial"/>
          <w:sz w:val="20"/>
          <w:szCs w:val="20"/>
          <w:i w:val="1"/>
          <w:iCs w:val="1"/>
          <w:color w:val="auto"/>
        </w:rPr>
        <w:t xml:space="preserve">x25 </w:t>
      </w:r>
      <w:r>
        <w:rPr>
          <w:rFonts w:ascii="Arial" w:cs="Arial" w:eastAsia="Arial" w:hAnsi="Arial"/>
          <w:sz w:val="20"/>
          <w:szCs w:val="20"/>
          <w:color w:val="auto"/>
        </w:rPr>
        <w:t>strategy, which focuses on our planned transition to a top-tier</w:t>
      </w:r>
      <w:r>
        <w:rPr>
          <w:rFonts w:ascii="Arial" w:cs="Arial" w:eastAsia="Arial" w:hAnsi="Arial"/>
          <w:sz w:val="20"/>
          <w:szCs w:val="20"/>
          <w:i w:val="1"/>
          <w:iCs w:val="1"/>
          <w:color w:val="auto"/>
        </w:rPr>
        <w:t xml:space="preserve"> </w:t>
      </w:r>
      <w:r>
        <w:rPr>
          <w:rFonts w:ascii="Arial" w:cs="Arial" w:eastAsia="Arial" w:hAnsi="Arial"/>
          <w:sz w:val="20"/>
          <w:szCs w:val="20"/>
          <w:color w:val="auto"/>
        </w:rPr>
        <w:t>biotech company by the end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176530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spacing w:after="0" w:line="126"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26580" cy="38836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6580" cy="38836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6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D3060"/>
        </w:rPr>
        <w:t> Phillip A. Sharp, Ph.D.</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Independent Director</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Committees:</w:t>
      </w:r>
    </w:p>
    <w:p>
      <w:pPr>
        <w:spacing w:after="0" w:line="6" w:lineRule="exact"/>
        <w:rPr>
          <w:sz w:val="20"/>
          <w:szCs w:val="20"/>
          <w:color w:val="auto"/>
        </w:rPr>
      </w:pPr>
    </w:p>
    <w:p>
      <w:pPr>
        <w:ind w:left="660" w:right="320" w:hanging="197"/>
        <w:spacing w:after="0" w:line="264" w:lineRule="auto"/>
        <w:rPr>
          <w:sz w:val="20"/>
          <w:szCs w:val="20"/>
          <w:color w:val="auto"/>
        </w:rPr>
      </w:pPr>
      <w:r>
        <w:rPr>
          <w:rFonts w:ascii="Arial" w:cs="Arial" w:eastAsia="Arial" w:hAnsi="Arial"/>
          <w:sz w:val="19"/>
          <w:szCs w:val="19"/>
          <w:color w:val="auto"/>
        </w:rPr>
        <w:t>•   Science and Technology Committee (Chair)</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2002</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79</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auto"/>
        </w:rPr>
        <w:t>Dr. Sharp is a scientific founder of Alnylam and Nobel Prize recipient, and has served as a member of our board of directors since June 2002.</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Dr. Sharp is an Institute Professor Emeritus at the David H. Koch Institute for Integrative Cancer Research, Massachusetts Institute of Technology, or MIT, and was the Founding Director of the McGovern Institute for Brain Research at MIT. Dr. Sharp has been a professor at MIT since 1974. He is a member of the National Academy of Sciences, the National Academy of Medicine and the American Academy of Arts and Sciences.</w:t>
      </w:r>
    </w:p>
    <w:p>
      <w:pPr>
        <w:spacing w:after="0" w:line="199"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Dr. Sharp also serves as a director of Vir Biotechnology, Inc. and formerly served as a director of Syros Pharmaceuticals, Inc. and Biogen Inc., which he co-founded in 1978.</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200"/>
        <w:spacing w:after="0" w:line="239" w:lineRule="auto"/>
        <w:rPr>
          <w:sz w:val="20"/>
          <w:szCs w:val="20"/>
          <w:color w:val="auto"/>
        </w:rPr>
      </w:pPr>
      <w:r>
        <w:rPr>
          <w:rFonts w:ascii="Arial" w:cs="Arial" w:eastAsia="Arial" w:hAnsi="Arial"/>
          <w:sz w:val="19"/>
          <w:szCs w:val="19"/>
          <w:color w:val="auto"/>
        </w:rPr>
        <w:t>Dr. Sharp, a leading researcher in molecular biology and biochemistry, brings to our board a fundamental understanding of the core scientific principles of our business. Dr. Sharp received the Nobel Prize for Physiology or Medicine in 1993, received numerous awards and honorary degrees for his scientific work, and served on many advisory boards for the government, academic institutions, scientific societies and companies. Dr. Sharp also has strategic expertise based upon his role as a co-founder and former director of Biogen. As one of our scientific founders, Dr. Sharp’s insight and scientific expertise are invaluable assets to our board when evaluating our strategy and unique challenges as a pioneer in the discovery and development of RNAi therapeutics, and he is uniquely qualified to serve as the chair of our 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179705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spacing w:after="0" w:line="132"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26580" cy="3437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6580" cy="3437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6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1D3060"/>
        </w:rPr>
        <w:t> Elliott Sigal, M.D., Ph.D.</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Independent Director</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Committees:</w:t>
      </w:r>
    </w:p>
    <w:p>
      <w:pPr>
        <w:spacing w:after="0" w:line="6" w:lineRule="exact"/>
        <w:rPr>
          <w:sz w:val="20"/>
          <w:szCs w:val="20"/>
          <w:color w:val="auto"/>
        </w:rPr>
      </w:pPr>
    </w:p>
    <w:p>
      <w:pPr>
        <w:ind w:left="660" w:right="180" w:hanging="197"/>
        <w:spacing w:after="0" w:line="237" w:lineRule="auto"/>
        <w:rPr>
          <w:sz w:val="20"/>
          <w:szCs w:val="20"/>
          <w:color w:val="auto"/>
        </w:rPr>
      </w:pPr>
      <w:r>
        <w:rPr>
          <w:rFonts w:ascii="Arial" w:cs="Arial" w:eastAsia="Arial" w:hAnsi="Arial"/>
          <w:sz w:val="19"/>
          <w:szCs w:val="19"/>
          <w:color w:val="auto"/>
        </w:rPr>
        <w:t>•   People, Culture and Compensation Committee</w:t>
      </w:r>
    </w:p>
    <w:p>
      <w:pPr>
        <w:ind w:left="660" w:right="320" w:hanging="197"/>
        <w:spacing w:after="0" w:line="239" w:lineRule="auto"/>
        <w:rPr>
          <w:sz w:val="20"/>
          <w:szCs w:val="20"/>
          <w:color w:val="auto"/>
        </w:rPr>
      </w:pPr>
      <w:r>
        <w:rPr>
          <w:rFonts w:ascii="Arial" w:cs="Arial" w:eastAsia="Arial" w:hAnsi="Arial"/>
          <w:sz w:val="20"/>
          <w:szCs w:val="20"/>
          <w:color w:val="auto"/>
        </w:rPr>
        <w:t>•   Science and Technology Committee</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Director since: 2022</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1D3060"/>
        </w:rPr>
        <w:t>Age: 72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Experience, Expertise and Qualifications</w:t>
      </w:r>
    </w:p>
    <w:p>
      <w:pPr>
        <w:spacing w:after="0" w:line="6" w:lineRule="exact"/>
        <w:rPr>
          <w:sz w:val="20"/>
          <w:szCs w:val="20"/>
          <w:color w:val="auto"/>
        </w:rPr>
      </w:pPr>
    </w:p>
    <w:p>
      <w:pPr>
        <w:ind w:right="240"/>
        <w:spacing w:after="0" w:line="227" w:lineRule="auto"/>
        <w:rPr>
          <w:sz w:val="20"/>
          <w:szCs w:val="20"/>
          <w:color w:val="auto"/>
        </w:rPr>
      </w:pPr>
      <w:r>
        <w:rPr>
          <w:rFonts w:ascii="Arial" w:cs="Arial" w:eastAsia="Arial" w:hAnsi="Arial"/>
          <w:sz w:val="20"/>
          <w:szCs w:val="20"/>
          <w:color w:val="auto"/>
        </w:rPr>
        <w:t>Dr. Sigal served as Chief Scientific Officer of Bristol-Myers Squibb, or BMS, a global biopharmaceutical company, from October 2004 to June 2013 and as a member of the BMS board of directors from March 2011 to June 2013. Dr. Sigal joined BMS in 1997 and held positions of increasing responsibility in drug discovery and development and was a member of the executive committee from September 2001 through June 2013. Prior to BMS, Dr. Sigal was Vice President of R&amp;D and Chief Executive Officer for the genomics firm Mercator Genetics Inc. He served as a senior advisor to the healthcare team of New Enterprise Associates, a venture capital firm, from 2014 to 2023. Dr. Sigal currently serves as co-chair of the Scientific Advisory Board for Amgen, Inc. Dr. Sigal also serves as director of Vir Biotechnology, Inc. and formerly served as a director of Adaptimmune Therapeutics plc and Surface Oncology Inc.</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1D3060"/>
        </w:rPr>
        <w:t>Key Contributions to the Board</w:t>
      </w:r>
    </w:p>
    <w:p>
      <w:pPr>
        <w:spacing w:after="0" w:line="6" w:lineRule="exact"/>
        <w:rPr>
          <w:sz w:val="20"/>
          <w:szCs w:val="20"/>
          <w:color w:val="auto"/>
        </w:rPr>
      </w:pPr>
    </w:p>
    <w:p>
      <w:pPr>
        <w:ind w:right="360"/>
        <w:spacing w:after="0" w:line="228" w:lineRule="auto"/>
        <w:rPr>
          <w:sz w:val="20"/>
          <w:szCs w:val="20"/>
          <w:color w:val="auto"/>
        </w:rPr>
      </w:pPr>
      <w:r>
        <w:rPr>
          <w:rFonts w:ascii="Arial" w:cs="Arial" w:eastAsia="Arial" w:hAnsi="Arial"/>
          <w:sz w:val="20"/>
          <w:szCs w:val="20"/>
          <w:color w:val="auto"/>
        </w:rPr>
        <w:t>Dr. Sigal possesses extensive experience in the biopharmaceutical industry, including decades of senior leadership and board experience at biopharmaceutical companies. Dr. Sigal’s experience bringing numerous medicines to market in multiple therapeutic areas, including cardiometabolic disease, infectious disease, inflammatory disease, neuroscience and oncology, brings valuable experience to our board and our science and technology and PC&amp;C committees, on which he serves, as we advance our late stage clinical development pipeline and further develop and scale our global 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176530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spacing w:after="0" w:line="127"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4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8970" cy="54419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34"/>
          <w:szCs w:val="34"/>
          <w:b w:val="1"/>
          <w:bCs w:val="1"/>
          <w:color w:val="2275B5"/>
        </w:rPr>
        <w:t>THE BOARD OF DIRECTORS AND ITS COMMITTEES</w:t>
      </w: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Board of Directors Meetings and Attendance</w:t>
      </w:r>
    </w:p>
    <w:p>
      <w:pPr>
        <w:spacing w:after="0" w:line="96" w:lineRule="exact"/>
        <w:rPr>
          <w:sz w:val="20"/>
          <w:szCs w:val="20"/>
          <w:color w:val="auto"/>
        </w:rPr>
      </w:pPr>
    </w:p>
    <w:p>
      <w:pPr>
        <w:ind w:left="120" w:right="240" w:firstLine="771"/>
        <w:spacing w:after="0" w:line="241" w:lineRule="auto"/>
        <w:rPr>
          <w:sz w:val="20"/>
          <w:szCs w:val="20"/>
          <w:color w:val="auto"/>
        </w:rPr>
      </w:pPr>
      <w:r>
        <w:rPr>
          <w:rFonts w:ascii="Arial" w:cs="Arial" w:eastAsia="Arial" w:hAnsi="Arial"/>
          <w:sz w:val="20"/>
          <w:szCs w:val="20"/>
          <w:color w:val="auto"/>
        </w:rPr>
        <w:t>Our board met six times during 2023 either in person or by teleconference. During 2023, each of our directors attended at least 75% of the aggregate number of board meetings and meetings of the committees on which he or she then served.</w:t>
      </w:r>
    </w:p>
    <w:p>
      <w:pPr>
        <w:spacing w:after="0" w:line="171" w:lineRule="exact"/>
        <w:rPr>
          <w:sz w:val="20"/>
          <w:szCs w:val="20"/>
          <w:color w:val="auto"/>
        </w:rPr>
      </w:pPr>
    </w:p>
    <w:p>
      <w:pPr>
        <w:ind w:left="120" w:right="380" w:firstLine="771"/>
        <w:spacing w:after="0" w:line="257" w:lineRule="auto"/>
        <w:rPr>
          <w:sz w:val="20"/>
          <w:szCs w:val="20"/>
          <w:color w:val="auto"/>
        </w:rPr>
      </w:pPr>
      <w:r>
        <w:rPr>
          <w:rFonts w:ascii="Arial" w:cs="Arial" w:eastAsia="Arial" w:hAnsi="Arial"/>
          <w:sz w:val="20"/>
          <w:szCs w:val="20"/>
          <w:color w:val="auto"/>
        </w:rPr>
        <w:t>Our directors are expected to participate in the virtual annual meeting of stockholders, unless they have a conflict that cannot be resolved. All of our then-current directors attended the 2023 annual meeting of stockholders.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Board Determination of Independence</w:t>
      </w:r>
    </w:p>
    <w:p>
      <w:pPr>
        <w:spacing w:after="0" w:line="204" w:lineRule="exact"/>
        <w:rPr>
          <w:sz w:val="20"/>
          <w:szCs w:val="20"/>
          <w:color w:val="auto"/>
        </w:rPr>
      </w:pPr>
    </w:p>
    <w:p>
      <w:pPr>
        <w:ind w:left="120" w:right="120" w:firstLine="771"/>
        <w:spacing w:after="0" w:line="241" w:lineRule="auto"/>
        <w:rPr>
          <w:sz w:val="20"/>
          <w:szCs w:val="20"/>
          <w:color w:val="auto"/>
        </w:rPr>
      </w:pPr>
      <w:r>
        <w:rPr>
          <w:rFonts w:ascii="Arial" w:cs="Arial" w:eastAsia="Arial" w:hAnsi="Arial"/>
          <w:sz w:val="19"/>
          <w:szCs w:val="19"/>
          <w:color w:val="auto"/>
        </w:rPr>
        <w:t>Under the Nasdaq listing standards, a director will qualify as an “independent director” if, in the opinion of our board, that person does not have a relationship that would interfere with the exercise of independent judgment in carrying out the responsibilities of a director. Our board has determined that none of Mses. Reitan and Schulman, Drs. Ausiello, Bertozzi, Brandicourt, Hamburg, Sharp and Sigal, and Messrs. Pyott and Kellogg have a relationship which would interfere with the exercise of independent judgment in carrying out the responsibilities of a director and that each of these directors is an “independent director” as defined under Nasdaq Rule 5605(a)(2). Mr. Bonney, who served as executive chair of our board from August 2021 to January 2023, and Dr. Greenstreet, our chief executive officer, are not considered “independent” directors. Our board of directors has determined that each member of our audit committee, PC&amp;C committee and nominating and corporate governance committee is independent within the meaning of the applicable Nasdaq and SEC rules and regulations regarding “independence”. In making such determination, our board considered relationships, if any, that each non-employee director or family member of such director has with Alnylam, their beneficial ownership of our outstanding common stock and other facts and circumstances our board deemed relevant in determining their independence.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Role of the Board</w:t>
      </w:r>
    </w:p>
    <w:p>
      <w:pPr>
        <w:spacing w:after="0" w:line="204" w:lineRule="exact"/>
        <w:rPr>
          <w:sz w:val="20"/>
          <w:szCs w:val="20"/>
          <w:color w:val="auto"/>
        </w:rPr>
      </w:pPr>
    </w:p>
    <w:p>
      <w:pPr>
        <w:ind w:left="120" w:right="120" w:firstLine="771"/>
        <w:spacing w:after="0" w:line="229" w:lineRule="auto"/>
        <w:rPr>
          <w:sz w:val="20"/>
          <w:szCs w:val="20"/>
          <w:color w:val="auto"/>
        </w:rPr>
      </w:pPr>
      <w:r>
        <w:rPr>
          <w:rFonts w:ascii="Arial" w:cs="Arial" w:eastAsia="Arial" w:hAnsi="Arial"/>
          <w:sz w:val="20"/>
          <w:szCs w:val="20"/>
          <w:color w:val="auto"/>
        </w:rPr>
        <w:t>Our business is managed under the direction of the board of directors. Management has primary responsibility for the day-to-day operations and affairs of our company and the role of our board is to provide independent oversight of management. In its oversight role, our board, as a whole and through its committees, is responsible for establishing broad corporate policies and reviewing our overall performance. Our board selects and provides for the succession of executive officers and, subject to stockholder election, directors. Our board also evaluates the performance of our chief executive officer, and, approves the compensation of our chief executive officer after considering the recommendations of our PC&amp;C committee. Our board reviews and approves corporate objectives, strategies and annual investment plans, and evaluates significant policies and proposed major commitments of corporate resources. Our board also participates in decisions that have a potential major economic impact on our company. Management keeps our directors informed of company activity through regular communication, including written reports and presentations at board of directors and committee meetings, as well as through regular informal updates between meetings with all or a subset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Board Leadership Structure</w:t>
      </w:r>
    </w:p>
    <w:p>
      <w:pPr>
        <w:spacing w:after="0" w:line="204" w:lineRule="exact"/>
        <w:rPr>
          <w:sz w:val="20"/>
          <w:szCs w:val="20"/>
          <w:color w:val="auto"/>
        </w:rPr>
      </w:pPr>
    </w:p>
    <w:p>
      <w:pPr>
        <w:ind w:left="120" w:firstLine="771"/>
        <w:spacing w:after="0" w:line="230" w:lineRule="auto"/>
        <w:rPr>
          <w:sz w:val="20"/>
          <w:szCs w:val="20"/>
          <w:color w:val="auto"/>
        </w:rPr>
      </w:pPr>
      <w:r>
        <w:rPr>
          <w:rFonts w:ascii="Arial" w:cs="Arial" w:eastAsia="Arial" w:hAnsi="Arial"/>
          <w:sz w:val="20"/>
          <w:szCs w:val="20"/>
          <w:color w:val="auto"/>
        </w:rPr>
        <w:t>Our board has determined that the roles of chief executive officer and chair of our board of directors should be separated at the current time. Ms. Schulman, an independent director, has served as our chair since January 2023. Prior to that time, Mr. Bonney, who had served as our chair since December 2015, served as executive chair of our board from August 2021 to January 2023 to further enhance our ethics and compliance function and its integration with the business.</w:t>
      </w:r>
    </w:p>
    <w:p>
      <w:pPr>
        <w:ind w:left="120" w:right="220"/>
        <w:spacing w:after="0" w:line="241" w:lineRule="auto"/>
        <w:rPr>
          <w:sz w:val="20"/>
          <w:szCs w:val="20"/>
          <w:color w:val="auto"/>
        </w:rPr>
      </w:pPr>
      <w:r>
        <w:rPr>
          <w:rFonts w:ascii="Arial" w:cs="Arial" w:eastAsia="Arial" w:hAnsi="Arial"/>
          <w:sz w:val="19"/>
          <w:szCs w:val="19"/>
          <w:color w:val="auto"/>
        </w:rPr>
        <w:t>Dr. Greenstreet has served as our chief executive officer and a director since January 2022 and October 2021, respectively. Separating these positions allows our chief executive officer to focus on our day-to-day business operations, while allowing the chair to lead the board in its fundamental role of providing advice to and independent oversight of management. The board recognizes the time, effort and energy that is required of the chief executive officer to operate and manage the company, as well as the commitment required to serve as our chair, particularly as the board’s oversight responsibilities continue to grow. While our bylaws and corporate governance guidelines do not require that our chair and chief executive officer positions be separate, our board believes that our current leadership structure is appropriate because it provides an effective balance between strategy development and independent leadership and management oversight.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Rationale for Classified Board Structure</w:t>
      </w:r>
    </w:p>
    <w:p>
      <w:pPr>
        <w:spacing w:after="0" w:line="204" w:lineRule="exact"/>
        <w:rPr>
          <w:sz w:val="20"/>
          <w:szCs w:val="20"/>
          <w:color w:val="auto"/>
        </w:rPr>
      </w:pPr>
    </w:p>
    <w:p>
      <w:pPr>
        <w:ind w:left="120" w:right="60" w:firstLine="771"/>
        <w:spacing w:after="0" w:line="228" w:lineRule="auto"/>
        <w:rPr>
          <w:sz w:val="20"/>
          <w:szCs w:val="20"/>
          <w:color w:val="auto"/>
        </w:rPr>
      </w:pPr>
      <w:r>
        <w:rPr>
          <w:rFonts w:ascii="Arial" w:cs="Arial" w:eastAsia="Arial" w:hAnsi="Arial"/>
          <w:sz w:val="20"/>
          <w:szCs w:val="20"/>
          <w:color w:val="auto"/>
        </w:rPr>
        <w:t>The time horizon required for successful development of therapeutics makes it vital that we have a board that understands the implications of this process and has the ability to develop and implement long-term strategies while benefiting from an in-depth knowledge of our business and operations. We believe that our classified board structure aligns with this long-term orientation and has enabled the board, which includes Nobel prize winners and members of the National Academy of Sciences, to provide educated and sophisticated oversight of management enabling a track record of setting and exceeding five-year goals, thereby driving the creation of long-term stockholder value. The nominating and corporate governance committee has discussed the feedback received from stockholders on this topic and reviewed and discussed a detailed analysis of the costs and benefits of our classified board structure to facilitate the committee’s continued consideration of this feature of our governance. Following this review, at present, the board and the nominating and corporate governance committee continue to believe that the classified board structure aligns with the company’s long-term orientation and enables the board to provide appropriate and expert oversight of management over the course of the multi-year life cycles of our clinical development programs, which the board believes ultimately drives the creation of sustainable stockholder value. In addition, the board believes three-year terms enhance the independence of our non-employee directors by providing continuity of service and protecting them against potential pressures from special interest groups or others who might have agendas contrary to the long-term interests of our stockholders. The board and/or the nominating and corporate governance committee will periodically review and continue to consider whether the classified board structure aligns with the company’s long-term strategic objectives.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The Board’s Role in Risk Oversight</w:t>
      </w:r>
    </w:p>
    <w:p>
      <w:pPr>
        <w:spacing w:after="0" w:line="204" w:lineRule="exact"/>
        <w:rPr>
          <w:sz w:val="20"/>
          <w:szCs w:val="20"/>
          <w:color w:val="auto"/>
        </w:rPr>
      </w:pPr>
    </w:p>
    <w:p>
      <w:pPr>
        <w:ind w:left="120" w:right="80" w:firstLine="771"/>
        <w:spacing w:after="0" w:line="237" w:lineRule="auto"/>
        <w:rPr>
          <w:sz w:val="20"/>
          <w:szCs w:val="20"/>
          <w:color w:val="auto"/>
        </w:rPr>
      </w:pPr>
      <w:r>
        <w:rPr>
          <w:rFonts w:ascii="Arial" w:cs="Arial" w:eastAsia="Arial" w:hAnsi="Arial"/>
          <w:sz w:val="20"/>
          <w:szCs w:val="20"/>
          <w:color w:val="auto"/>
        </w:rPr>
        <w:t>We face a number of risks in our business, including risks related to: launching, marketing and selling our approved products globally; pre-clinical and clinical research and development; manufacturing and clinical and commercial drug supply; regulatory reviews; our ability to obtain approval for new commercial products or additional indications for our existing products; policies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40"/>
        <w:spacing w:after="0" w:line="232" w:lineRule="auto"/>
        <w:rPr>
          <w:sz w:val="20"/>
          <w:szCs w:val="20"/>
          <w:color w:val="auto"/>
        </w:rPr>
      </w:pPr>
      <w:r>
        <w:rPr>
          <w:rFonts w:ascii="Arial" w:cs="Arial" w:eastAsia="Arial" w:hAnsi="Arial"/>
          <w:sz w:val="20"/>
          <w:szCs w:val="20"/>
          <w:color w:val="auto"/>
        </w:rPr>
        <w:t>oversight; global growth and capability expansion; preparations for and execution of commercial operations; our ability to obtain reimbursement for approved drugs and the drugs we are developing if, and when, they gain regulatory approval; intellectual property filings, prosecution, maintenance and challenges; the establishment and maintenance of strategic alliances; competition; cybersecurity; litigation and government investigations; and the ability to manage our expenses, access additional funding for our business and advance towards self-sustainability; as well as other risks. Our management is responsible for the day-to-day management of the risks that we face, while our board of directors, as a whole and through its committees, has responsibility for the oversight of risk management.</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Our board administers its risk oversight function directly and through its four committees.</w:t>
      </w:r>
    </w:p>
    <w:p>
      <w:pPr>
        <w:spacing w:after="0" w:line="202" w:lineRule="exact"/>
        <w:rPr>
          <w:sz w:val="20"/>
          <w:szCs w:val="20"/>
          <w:color w:val="auto"/>
        </w:rPr>
      </w:pPr>
    </w:p>
    <w:p>
      <w:pPr>
        <w:ind w:left="120" w:right="180" w:firstLine="771"/>
        <w:spacing w:after="0" w:line="230" w:lineRule="auto"/>
        <w:rPr>
          <w:sz w:val="20"/>
          <w:szCs w:val="20"/>
          <w:color w:val="auto"/>
        </w:rPr>
      </w:pPr>
      <w:r>
        <w:rPr>
          <w:rFonts w:ascii="Arial" w:cs="Arial" w:eastAsia="Arial" w:hAnsi="Arial"/>
          <w:sz w:val="20"/>
          <w:szCs w:val="20"/>
          <w:color w:val="auto"/>
        </w:rPr>
        <w:t>Our chair meets regularly with our chief executive officer and other executive officers and members of senior management to discuss strategy and risks facing the company. Our chair and the chair of our nominating and corporate governance committee also meet with our global head of ethics and compliance individually and with members of our legal team, to discuss the risks facing our business and our global compliance initiatives. Members of senior management attend the quarterly board meetings and are available to address any questions or concerns raised by our board on risk management-related and any other matters. Each quarter, our board of directors receives presentations from members of senior management, and may also receive reports from the committee chairs and outside consultants, among others. These presentations often include identification and assessment of risks our company currently faces or may face in the future. Annually, our board reviews and discusses with management an enterprise risk assessment focused on the key risks facing our business.</w:t>
      </w:r>
    </w:p>
    <w:p>
      <w:pPr>
        <w:spacing w:after="0" w:line="172" w:lineRule="exact"/>
        <w:rPr>
          <w:sz w:val="20"/>
          <w:szCs w:val="20"/>
          <w:color w:val="auto"/>
        </w:rPr>
      </w:pPr>
    </w:p>
    <w:p>
      <w:pPr>
        <w:ind w:left="120" w:right="100" w:firstLine="771"/>
        <w:spacing w:after="0" w:line="233" w:lineRule="auto"/>
        <w:rPr>
          <w:sz w:val="20"/>
          <w:szCs w:val="20"/>
          <w:color w:val="auto"/>
        </w:rPr>
      </w:pPr>
      <w:r>
        <w:rPr>
          <w:rFonts w:ascii="Arial" w:cs="Arial" w:eastAsia="Arial" w:hAnsi="Arial"/>
          <w:sz w:val="20"/>
          <w:szCs w:val="20"/>
          <w:color w:val="auto"/>
        </w:rPr>
        <w:t>In addition, as part of its charter, the audit committee regularly discusses with management our risk exposures in the areas of financial reporting, internal controls and compliance with legal and regulatory requirements with potential impact on our financial statements, and the steps we take to manage them. Our audit committee also oversees our internal audit function. The primary purpose of the internal audit function is to provide independent, objective assurance to senior management and the audit committee regarding the adequacy, efficiency and effectiveness of internal controls, which are designed to add value and strengthen our business operations.</w:t>
      </w:r>
    </w:p>
    <w:p>
      <w:pPr>
        <w:spacing w:after="0" w:line="172" w:lineRule="exact"/>
        <w:rPr>
          <w:sz w:val="20"/>
          <w:szCs w:val="20"/>
          <w:color w:val="auto"/>
        </w:rPr>
      </w:pPr>
    </w:p>
    <w:p>
      <w:pPr>
        <w:ind w:left="120" w:right="140" w:firstLine="771"/>
        <w:spacing w:after="0" w:line="241" w:lineRule="auto"/>
        <w:rPr>
          <w:sz w:val="20"/>
          <w:szCs w:val="20"/>
          <w:color w:val="auto"/>
        </w:rPr>
      </w:pPr>
      <w:r>
        <w:rPr>
          <w:rFonts w:ascii="Arial" w:cs="Arial" w:eastAsia="Arial" w:hAnsi="Arial"/>
          <w:sz w:val="20"/>
          <w:szCs w:val="20"/>
          <w:color w:val="auto"/>
        </w:rPr>
        <w:t>The PC&amp;C committee assists our board in fulfilling its oversight responsibilities with respect to the management of risks arising from our compensation policies and programs and succession planning for our executive officers, and evaluates potential risks associated with director compensation for consideration by the full board.</w:t>
      </w:r>
    </w:p>
    <w:p>
      <w:pPr>
        <w:spacing w:after="0" w:line="171" w:lineRule="exact"/>
        <w:rPr>
          <w:sz w:val="20"/>
          <w:szCs w:val="20"/>
          <w:color w:val="auto"/>
        </w:rPr>
      </w:pPr>
    </w:p>
    <w:p>
      <w:pPr>
        <w:ind w:left="120" w:right="200" w:firstLine="771"/>
        <w:spacing w:after="0" w:line="237" w:lineRule="auto"/>
        <w:rPr>
          <w:sz w:val="20"/>
          <w:szCs w:val="20"/>
          <w:color w:val="auto"/>
        </w:rPr>
      </w:pPr>
      <w:r>
        <w:rPr>
          <w:rFonts w:ascii="Arial" w:cs="Arial" w:eastAsia="Arial" w:hAnsi="Arial"/>
          <w:sz w:val="20"/>
          <w:szCs w:val="20"/>
          <w:color w:val="auto"/>
        </w:rPr>
        <w:t>The nominating and corporate governance committee assists our board in fulfilling its oversight responsibilities with respect to the management of risks associated with board organization, membership and structure, succession planning for our directors, corporate governance, cybersecurity, technical operations and non-financial compliance programs, including with respect to commercial activities and quality assurance.</w:t>
      </w:r>
    </w:p>
    <w:p>
      <w:pPr>
        <w:spacing w:after="0" w:line="172" w:lineRule="exact"/>
        <w:rPr>
          <w:sz w:val="20"/>
          <w:szCs w:val="20"/>
          <w:color w:val="auto"/>
        </w:rPr>
      </w:pPr>
    </w:p>
    <w:p>
      <w:pPr>
        <w:ind w:left="120" w:right="120" w:firstLine="771"/>
        <w:spacing w:after="0" w:line="241" w:lineRule="auto"/>
        <w:rPr>
          <w:sz w:val="20"/>
          <w:szCs w:val="20"/>
          <w:color w:val="auto"/>
        </w:rPr>
      </w:pPr>
      <w:r>
        <w:rPr>
          <w:rFonts w:ascii="Arial" w:cs="Arial" w:eastAsia="Arial" w:hAnsi="Arial"/>
          <w:sz w:val="20"/>
          <w:szCs w:val="20"/>
          <w:color w:val="auto"/>
        </w:rPr>
        <w:t>Our chair, individually and with our senior vice president, general counsel, corporate and governance, our global head of ethics and compliance, our head of internal audit, our chief information officer, and our chief technical operations and quality officer each provide the committee with regular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20" w:firstLine="771"/>
        <w:spacing w:after="0" w:line="257" w:lineRule="auto"/>
        <w:rPr>
          <w:sz w:val="20"/>
          <w:szCs w:val="20"/>
          <w:color w:val="auto"/>
        </w:rPr>
      </w:pPr>
      <w:r>
        <w:rPr>
          <w:rFonts w:ascii="Arial" w:cs="Arial" w:eastAsia="Arial" w:hAnsi="Arial"/>
          <w:sz w:val="20"/>
          <w:szCs w:val="20"/>
          <w:color w:val="auto"/>
        </w:rPr>
        <w:t>The science and technology committee reviews and advises our board regarding risks arising from our discovery and development strategy and programs.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Board Committees</w:t>
      </w:r>
    </w:p>
    <w:p>
      <w:pPr>
        <w:spacing w:after="0" w:line="204" w:lineRule="exact"/>
        <w:rPr>
          <w:sz w:val="20"/>
          <w:szCs w:val="20"/>
          <w:color w:val="auto"/>
        </w:rPr>
      </w:pPr>
    </w:p>
    <w:p>
      <w:pPr>
        <w:ind w:left="120" w:right="60" w:firstLine="771"/>
        <w:spacing w:after="0" w:line="234" w:lineRule="auto"/>
        <w:rPr>
          <w:sz w:val="20"/>
          <w:szCs w:val="20"/>
          <w:color w:val="auto"/>
        </w:rPr>
      </w:pPr>
      <w:r>
        <w:rPr>
          <w:rFonts w:ascii="Arial" w:cs="Arial" w:eastAsia="Arial" w:hAnsi="Arial"/>
          <w:sz w:val="20"/>
          <w:szCs w:val="20"/>
          <w:color w:val="auto"/>
        </w:rPr>
        <w:t xml:space="preserve">Our board of directors has established four standing committees — audit, PC&amp;C, nominating and corporate governance, and science and technology — each of which operates under a written charter that has been approved by our board. We have posted copies of each committee’s charter on the Corporate Governance page of the Investors section of our website, </w:t>
      </w:r>
      <w:r>
        <w:rPr>
          <w:rFonts w:ascii="Arial" w:cs="Arial" w:eastAsia="Arial" w:hAnsi="Arial"/>
          <w:sz w:val="20"/>
          <w:szCs w:val="20"/>
          <w:i w:val="1"/>
          <w:iCs w:val="1"/>
          <w:u w:val="single" w:color="auto"/>
          <w:color w:val="2275B5"/>
        </w:rPr>
        <w:t>www.alnylam.com</w:t>
      </w:r>
      <w:r>
        <w:rPr>
          <w:rFonts w:ascii="Arial" w:cs="Arial" w:eastAsia="Arial" w:hAnsi="Arial"/>
          <w:sz w:val="20"/>
          <w:szCs w:val="20"/>
          <w:color w:val="auto"/>
        </w:rPr>
        <w:t>. The members of each committee are appointed by our board, upon the recommendation of our nominating and corporate governance committee.</w:t>
      </w:r>
    </w:p>
    <w:p>
      <w:pPr>
        <w:spacing w:after="0" w:line="175" w:lineRule="exact"/>
        <w:rPr>
          <w:sz w:val="20"/>
          <w:szCs w:val="20"/>
          <w:color w:val="auto"/>
        </w:rPr>
      </w:pPr>
    </w:p>
    <w:p>
      <w:pPr>
        <w:ind w:left="120" w:right="60" w:firstLine="771"/>
        <w:spacing w:after="0" w:line="237" w:lineRule="auto"/>
        <w:rPr>
          <w:sz w:val="20"/>
          <w:szCs w:val="20"/>
          <w:color w:val="auto"/>
        </w:rPr>
      </w:pPr>
      <w:r>
        <w:rPr>
          <w:rFonts w:ascii="Arial" w:cs="Arial" w:eastAsia="Arial" w:hAnsi="Arial"/>
          <w:sz w:val="20"/>
          <w:szCs w:val="20"/>
          <w:color w:val="auto"/>
        </w:rPr>
        <w:t>Our board has determined that all of the members of each of the audit, PC&amp;C, and nominating and corporate governance committees are independent as defined under the Nasdaq Marketplace Rules, and, in the case of all members of our audit committee, the independence requirements of Rule 10A-3(b)(1) under the Exchange Act. Committee memberships as of March 31, 2024 are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00" w:type="dxa"/>
            <w:vAlign w:val="bottom"/>
          </w:tcPr>
          <w:p>
            <w:pPr>
              <w:ind w:left="300"/>
              <w:spacing w:after="0"/>
              <w:rPr>
                <w:sz w:val="20"/>
                <w:szCs w:val="20"/>
                <w:color w:val="auto"/>
              </w:rPr>
            </w:pPr>
            <w:r>
              <w:rPr>
                <w:rFonts w:ascii="Arial" w:cs="Arial" w:eastAsia="Arial" w:hAnsi="Arial"/>
                <w:sz w:val="14"/>
                <w:szCs w:val="14"/>
                <w:b w:val="1"/>
                <w:bCs w:val="1"/>
                <w:color w:val="1D3060"/>
              </w:rPr>
              <w:t>Nominating and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1D3060"/>
              </w:rPr>
              <w:t>People, Culture and</w:t>
            </w:r>
          </w:p>
        </w:tc>
        <w:tc>
          <w:tcPr>
            <w:tcW w:w="1500" w:type="dxa"/>
            <w:vAlign w:val="bottom"/>
          </w:tcPr>
          <w:p>
            <w:pPr>
              <w:jc w:val="center"/>
              <w:ind w:left="108"/>
              <w:spacing w:after="0"/>
              <w:rPr>
                <w:sz w:val="20"/>
                <w:szCs w:val="20"/>
                <w:color w:val="auto"/>
              </w:rPr>
            </w:pPr>
            <w:r>
              <w:rPr>
                <w:rFonts w:ascii="Arial" w:cs="Arial" w:eastAsia="Arial" w:hAnsi="Arial"/>
                <w:sz w:val="14"/>
                <w:szCs w:val="14"/>
                <w:b w:val="1"/>
                <w:bCs w:val="1"/>
                <w:color w:val="1D3060"/>
              </w:rPr>
              <w:t>Corporate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D3060"/>
              </w:rPr>
              <w:t>Science and</w:t>
            </w:r>
          </w:p>
        </w:tc>
        <w:tc>
          <w:tcPr>
            <w:tcW w:w="0" w:type="dxa"/>
            <w:vAlign w:val="bottom"/>
          </w:tcPr>
          <w:p>
            <w:pPr>
              <w:spacing w:after="0"/>
              <w:rPr>
                <w:sz w:val="1"/>
                <w:szCs w:val="1"/>
                <w:color w:val="auto"/>
              </w:rPr>
            </w:pPr>
          </w:p>
        </w:tc>
      </w:tr>
      <w:tr>
        <w:trPr>
          <w:trHeight w:val="162"/>
        </w:trPr>
        <w:tc>
          <w:tcPr>
            <w:tcW w:w="6460" w:type="dxa"/>
            <w:vAlign w:val="bottom"/>
          </w:tcPr>
          <w:p>
            <w:pPr>
              <w:ind w:left="5600"/>
              <w:spacing w:after="0"/>
              <w:rPr>
                <w:sz w:val="20"/>
                <w:szCs w:val="20"/>
                <w:color w:val="auto"/>
              </w:rPr>
            </w:pPr>
            <w:r>
              <w:rPr>
                <w:rFonts w:ascii="Arial" w:cs="Arial" w:eastAsia="Arial" w:hAnsi="Arial"/>
                <w:sz w:val="14"/>
                <w:szCs w:val="14"/>
                <w:b w:val="1"/>
                <w:bCs w:val="1"/>
                <w:color w:val="1D3060"/>
              </w:rPr>
              <w:t>Audit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1D3060"/>
              </w:rPr>
              <w:t>Compensation</w:t>
            </w:r>
          </w:p>
        </w:tc>
        <w:tc>
          <w:tcPr>
            <w:tcW w:w="1500" w:type="dxa"/>
            <w:vAlign w:val="bottom"/>
          </w:tcPr>
          <w:p>
            <w:pPr>
              <w:jc w:val="center"/>
              <w:ind w:left="108"/>
              <w:spacing w:after="0"/>
              <w:rPr>
                <w:sz w:val="20"/>
                <w:szCs w:val="20"/>
                <w:color w:val="auto"/>
              </w:rPr>
            </w:pPr>
            <w:r>
              <w:rPr>
                <w:rFonts w:ascii="Arial" w:cs="Arial" w:eastAsia="Arial" w:hAnsi="Arial"/>
                <w:sz w:val="14"/>
                <w:szCs w:val="14"/>
                <w:b w:val="1"/>
                <w:bCs w:val="1"/>
                <w:color w:val="1D3060"/>
              </w:rPr>
              <w:t>Governance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D3060"/>
              </w:rPr>
              <w:t>Technology</w:t>
            </w:r>
          </w:p>
        </w:tc>
        <w:tc>
          <w:tcPr>
            <w:tcW w:w="0" w:type="dxa"/>
            <w:vAlign w:val="bottom"/>
          </w:tcPr>
          <w:p>
            <w:pPr>
              <w:spacing w:after="0"/>
              <w:rPr>
                <w:sz w:val="1"/>
                <w:szCs w:val="1"/>
                <w:color w:val="auto"/>
              </w:rPr>
            </w:pPr>
          </w:p>
        </w:tc>
      </w:tr>
      <w:tr>
        <w:trPr>
          <w:trHeight w:val="196"/>
        </w:trPr>
        <w:tc>
          <w:tcPr>
            <w:tcW w:w="6460" w:type="dxa"/>
            <w:vAlign w:val="bottom"/>
          </w:tcPr>
          <w:p>
            <w:pPr>
              <w:ind w:left="5420"/>
              <w:spacing w:after="0"/>
              <w:rPr>
                <w:sz w:val="20"/>
                <w:szCs w:val="20"/>
                <w:color w:val="auto"/>
              </w:rPr>
            </w:pPr>
            <w:r>
              <w:rPr>
                <w:rFonts w:ascii="Arial" w:cs="Arial" w:eastAsia="Arial" w:hAnsi="Arial"/>
                <w:sz w:val="14"/>
                <w:szCs w:val="14"/>
                <w:b w:val="1"/>
                <w:bCs w:val="1"/>
                <w:color w:val="1D3060"/>
              </w:rPr>
              <w:t>Committee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1D3060"/>
              </w:rPr>
              <w:t>Committee</w:t>
            </w:r>
          </w:p>
        </w:tc>
        <w:tc>
          <w:tcPr>
            <w:tcW w:w="1500" w:type="dxa"/>
            <w:vAlign w:val="bottom"/>
          </w:tcPr>
          <w:p>
            <w:pPr>
              <w:jc w:val="center"/>
              <w:ind w:left="88"/>
              <w:spacing w:after="0"/>
              <w:rPr>
                <w:sz w:val="20"/>
                <w:szCs w:val="20"/>
                <w:color w:val="auto"/>
              </w:rPr>
            </w:pPr>
            <w:r>
              <w:rPr>
                <w:rFonts w:ascii="Arial" w:cs="Arial" w:eastAsia="Arial" w:hAnsi="Arial"/>
                <w:sz w:val="14"/>
                <w:szCs w:val="14"/>
                <w:b w:val="1"/>
                <w:bCs w:val="1"/>
                <w:color w:val="1D3060"/>
              </w:rPr>
              <w:t>Committee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D3060"/>
              </w:rPr>
              <w:t>Committee</w:t>
            </w:r>
          </w:p>
        </w:tc>
        <w:tc>
          <w:tcPr>
            <w:tcW w:w="0" w:type="dxa"/>
            <w:vAlign w:val="bottom"/>
          </w:tcPr>
          <w:p>
            <w:pPr>
              <w:spacing w:after="0"/>
              <w:rPr>
                <w:sz w:val="1"/>
                <w:szCs w:val="1"/>
                <w:color w:val="auto"/>
              </w:rPr>
            </w:pPr>
          </w:p>
        </w:tc>
      </w:tr>
      <w:tr>
        <w:trPr>
          <w:trHeight w:val="29"/>
        </w:trPr>
        <w:tc>
          <w:tcPr>
            <w:tcW w:w="6460" w:type="dxa"/>
            <w:vAlign w:val="bottom"/>
            <w:tcBorders>
              <w:bottom w:val="single" w:sz="8" w:color="2275B5"/>
            </w:tcBorders>
          </w:tcPr>
          <w:p>
            <w:pPr>
              <w:spacing w:after="0"/>
              <w:rPr>
                <w:sz w:val="2"/>
                <w:szCs w:val="2"/>
                <w:color w:val="auto"/>
              </w:rPr>
            </w:pPr>
          </w:p>
        </w:tc>
        <w:tc>
          <w:tcPr>
            <w:tcW w:w="1940" w:type="dxa"/>
            <w:vAlign w:val="bottom"/>
            <w:tcBorders>
              <w:bottom w:val="single" w:sz="8" w:color="2275B5"/>
            </w:tcBorders>
          </w:tcPr>
          <w:p>
            <w:pPr>
              <w:spacing w:after="0"/>
              <w:rPr>
                <w:sz w:val="2"/>
                <w:szCs w:val="2"/>
                <w:color w:val="auto"/>
              </w:rPr>
            </w:pPr>
          </w:p>
        </w:tc>
        <w:tc>
          <w:tcPr>
            <w:tcW w:w="1500" w:type="dxa"/>
            <w:vAlign w:val="bottom"/>
            <w:tcBorders>
              <w:bottom w:val="single" w:sz="8" w:color="2275B5"/>
            </w:tcBorders>
          </w:tcPr>
          <w:p>
            <w:pPr>
              <w:spacing w:after="0"/>
              <w:rPr>
                <w:sz w:val="2"/>
                <w:szCs w:val="2"/>
                <w:color w:val="auto"/>
              </w:rPr>
            </w:pPr>
          </w:p>
        </w:tc>
        <w:tc>
          <w:tcPr>
            <w:tcW w:w="1120" w:type="dxa"/>
            <w:vAlign w:val="bottom"/>
            <w:tcBorders>
              <w:bottom w:val="single" w:sz="8" w:color="2275B5"/>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460" w:type="dxa"/>
            <w:vAlign w:val="bottom"/>
            <w:shd w:val="clear" w:color="auto" w:fill="D7E8F5"/>
          </w:tcPr>
          <w:p>
            <w:pPr>
              <w:spacing w:after="0"/>
              <w:rPr>
                <w:sz w:val="20"/>
                <w:szCs w:val="20"/>
                <w:color w:val="auto"/>
              </w:rPr>
            </w:pPr>
            <w:r>
              <w:rPr>
                <w:rFonts w:ascii="Arial" w:cs="Arial" w:eastAsia="Arial" w:hAnsi="Arial"/>
                <w:sz w:val="14"/>
                <w:szCs w:val="14"/>
                <w:b w:val="1"/>
                <w:bCs w:val="1"/>
                <w:color w:val="2275B5"/>
              </w:rPr>
              <w:t>  Dennis A. Ausiello, M.D.</w:t>
            </w:r>
          </w:p>
        </w:tc>
        <w:tc>
          <w:tcPr>
            <w:tcW w:w="1940" w:type="dxa"/>
            <w:vAlign w:val="bottom"/>
            <w:shd w:val="clear" w:color="auto" w:fill="D7E8F5"/>
          </w:tcPr>
          <w:p>
            <w:pPr>
              <w:spacing w:after="0"/>
              <w:rPr>
                <w:sz w:val="22"/>
                <w:szCs w:val="22"/>
                <w:color w:val="auto"/>
              </w:rPr>
            </w:pPr>
          </w:p>
        </w:tc>
        <w:tc>
          <w:tcPr>
            <w:tcW w:w="1500" w:type="dxa"/>
            <w:vAlign w:val="bottom"/>
            <w:shd w:val="clear" w:color="auto" w:fill="D7E8F5"/>
          </w:tcPr>
          <w:p>
            <w:pPr>
              <w:spacing w:after="0"/>
              <w:rPr>
                <w:sz w:val="22"/>
                <w:szCs w:val="22"/>
                <w:color w:val="auto"/>
              </w:rPr>
            </w:pPr>
          </w:p>
        </w:tc>
        <w:tc>
          <w:tcPr>
            <w:tcW w:w="1120" w:type="dxa"/>
            <w:vAlign w:val="bottom"/>
            <w:shd w:val="clear" w:color="auto" w:fill="D7E8F5"/>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6460" w:type="dxa"/>
            <w:vAlign w:val="bottom"/>
            <w:shd w:val="clear" w:color="auto" w:fill="D7E8F5"/>
          </w:tcPr>
          <w:p>
            <w:pPr>
              <w:spacing w:after="0"/>
              <w:rPr>
                <w:sz w:val="10"/>
                <w:szCs w:val="10"/>
                <w:color w:val="auto"/>
              </w:rPr>
            </w:pPr>
          </w:p>
        </w:tc>
        <w:tc>
          <w:tcPr>
            <w:tcW w:w="1940" w:type="dxa"/>
            <w:vAlign w:val="bottom"/>
            <w:shd w:val="clear" w:color="auto" w:fill="D7E8F5"/>
          </w:tcPr>
          <w:p>
            <w:pPr>
              <w:spacing w:after="0"/>
              <w:rPr>
                <w:sz w:val="10"/>
                <w:szCs w:val="10"/>
                <w:color w:val="auto"/>
              </w:rPr>
            </w:pPr>
          </w:p>
        </w:tc>
        <w:tc>
          <w:tcPr>
            <w:tcW w:w="1500" w:type="dxa"/>
            <w:vAlign w:val="bottom"/>
            <w:shd w:val="clear" w:color="auto" w:fill="D7E8F5"/>
          </w:tcPr>
          <w:p>
            <w:pPr>
              <w:spacing w:after="0"/>
              <w:rPr>
                <w:sz w:val="10"/>
                <w:szCs w:val="10"/>
                <w:color w:val="auto"/>
              </w:rPr>
            </w:pPr>
          </w:p>
        </w:tc>
        <w:tc>
          <w:tcPr>
            <w:tcW w:w="1120" w:type="dxa"/>
            <w:vAlign w:val="bottom"/>
            <w:shd w:val="clear" w:color="auto" w:fill="D7E8F5"/>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6460" w:type="dxa"/>
            <w:vAlign w:val="bottom"/>
          </w:tcPr>
          <w:p>
            <w:pPr>
              <w:spacing w:after="0"/>
              <w:rPr>
                <w:sz w:val="20"/>
                <w:szCs w:val="20"/>
                <w:color w:val="auto"/>
              </w:rPr>
            </w:pPr>
            <w:r>
              <w:rPr>
                <w:rFonts w:ascii="Arial" w:cs="Arial" w:eastAsia="Arial" w:hAnsi="Arial"/>
                <w:sz w:val="14"/>
                <w:szCs w:val="14"/>
                <w:b w:val="1"/>
                <w:bCs w:val="1"/>
                <w:color w:val="2275B5"/>
              </w:rPr>
              <w:t>  Carolyn R. Bertozzi, Ph.D.</w:t>
            </w:r>
          </w:p>
        </w:tc>
        <w:tc>
          <w:tcPr>
            <w:tcW w:w="1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64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6460" w:type="dxa"/>
            <w:vAlign w:val="bottom"/>
            <w:shd w:val="clear" w:color="auto" w:fill="D7E8F5"/>
          </w:tcPr>
          <w:p>
            <w:pPr>
              <w:spacing w:after="0"/>
              <w:rPr>
                <w:sz w:val="20"/>
                <w:szCs w:val="20"/>
                <w:color w:val="auto"/>
              </w:rPr>
            </w:pPr>
            <w:r>
              <w:rPr>
                <w:rFonts w:ascii="Arial" w:cs="Arial" w:eastAsia="Arial" w:hAnsi="Arial"/>
                <w:sz w:val="14"/>
                <w:szCs w:val="14"/>
                <w:b w:val="1"/>
                <w:bCs w:val="1"/>
                <w:color w:val="2275B5"/>
              </w:rPr>
              <w:t>  Michael W. Bonney</w:t>
            </w:r>
          </w:p>
        </w:tc>
        <w:tc>
          <w:tcPr>
            <w:tcW w:w="1940" w:type="dxa"/>
            <w:vAlign w:val="bottom"/>
            <w:shd w:val="clear" w:color="auto" w:fill="D7E8F5"/>
          </w:tcPr>
          <w:p>
            <w:pPr>
              <w:spacing w:after="0"/>
              <w:rPr>
                <w:sz w:val="24"/>
                <w:szCs w:val="24"/>
                <w:color w:val="auto"/>
              </w:rPr>
            </w:pPr>
          </w:p>
        </w:tc>
        <w:tc>
          <w:tcPr>
            <w:tcW w:w="1500" w:type="dxa"/>
            <w:vAlign w:val="bottom"/>
            <w:shd w:val="clear" w:color="auto" w:fill="D7E8F5"/>
          </w:tcPr>
          <w:p>
            <w:pPr>
              <w:ind w:left="760"/>
              <w:spacing w:after="0"/>
              <w:rPr>
                <w:sz w:val="20"/>
                <w:szCs w:val="20"/>
                <w:color w:val="auto"/>
              </w:rPr>
            </w:pPr>
            <w:r>
              <w:rPr>
                <w:rFonts w:ascii="Arial" w:cs="Arial" w:eastAsia="Arial" w:hAnsi="Arial"/>
                <w:sz w:val="14"/>
                <w:szCs w:val="14"/>
                <w:color w:val="auto"/>
              </w:rPr>
              <w:t> </w:t>
            </w:r>
          </w:p>
        </w:tc>
        <w:tc>
          <w:tcPr>
            <w:tcW w:w="1120" w:type="dxa"/>
            <w:vAlign w:val="bottom"/>
            <w:shd w:val="clear" w:color="auto" w:fill="D7E8F5"/>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460" w:type="dxa"/>
            <w:vAlign w:val="bottom"/>
            <w:shd w:val="clear" w:color="auto" w:fill="D7E8F5"/>
          </w:tcPr>
          <w:p>
            <w:pPr>
              <w:spacing w:after="0"/>
              <w:rPr>
                <w:sz w:val="6"/>
                <w:szCs w:val="6"/>
                <w:color w:val="auto"/>
              </w:rPr>
            </w:pPr>
          </w:p>
        </w:tc>
        <w:tc>
          <w:tcPr>
            <w:tcW w:w="1940" w:type="dxa"/>
            <w:vAlign w:val="bottom"/>
            <w:shd w:val="clear" w:color="auto" w:fill="D7E8F5"/>
          </w:tcPr>
          <w:p>
            <w:pPr>
              <w:spacing w:after="0"/>
              <w:rPr>
                <w:sz w:val="6"/>
                <w:szCs w:val="6"/>
                <w:color w:val="auto"/>
              </w:rPr>
            </w:pPr>
          </w:p>
        </w:tc>
        <w:tc>
          <w:tcPr>
            <w:tcW w:w="1500" w:type="dxa"/>
            <w:vAlign w:val="bottom"/>
            <w:shd w:val="clear" w:color="auto" w:fill="D7E8F5"/>
          </w:tcPr>
          <w:p>
            <w:pPr>
              <w:spacing w:after="0"/>
              <w:rPr>
                <w:sz w:val="6"/>
                <w:szCs w:val="6"/>
                <w:color w:val="auto"/>
              </w:rPr>
            </w:pPr>
          </w:p>
        </w:tc>
        <w:tc>
          <w:tcPr>
            <w:tcW w:w="1120" w:type="dxa"/>
            <w:vAlign w:val="bottom"/>
            <w:shd w:val="clear" w:color="auto" w:fill="D7E8F5"/>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6460" w:type="dxa"/>
            <w:vAlign w:val="bottom"/>
          </w:tcPr>
          <w:p>
            <w:pPr>
              <w:spacing w:after="0"/>
              <w:rPr>
                <w:sz w:val="20"/>
                <w:szCs w:val="20"/>
                <w:color w:val="auto"/>
              </w:rPr>
            </w:pPr>
            <w:r>
              <w:rPr>
                <w:rFonts w:ascii="Arial" w:cs="Arial" w:eastAsia="Arial" w:hAnsi="Arial"/>
                <w:sz w:val="14"/>
                <w:szCs w:val="14"/>
                <w:b w:val="1"/>
                <w:bCs w:val="1"/>
                <w:color w:val="2275B5"/>
              </w:rPr>
              <w:t>  Olivier Brandicourt, M.D.</w:t>
            </w:r>
          </w:p>
        </w:tc>
        <w:tc>
          <w:tcPr>
            <w:tcW w:w="1940" w:type="dxa"/>
            <w:vAlign w:val="bottom"/>
          </w:tcPr>
          <w:p>
            <w:pPr>
              <w:spacing w:after="0"/>
              <w:rPr>
                <w:sz w:val="23"/>
                <w:szCs w:val="23"/>
                <w:color w:val="auto"/>
              </w:rPr>
            </w:pPr>
          </w:p>
        </w:tc>
        <w:tc>
          <w:tcPr>
            <w:tcW w:w="1500" w:type="dxa"/>
            <w:vAlign w:val="bottom"/>
            <w:vMerge w:val="restart"/>
          </w:tcPr>
          <w:p>
            <w:pPr>
              <w:ind w:left="300"/>
              <w:spacing w:after="0"/>
              <w:rPr>
                <w:sz w:val="20"/>
                <w:szCs w:val="20"/>
                <w:color w:val="auto"/>
              </w:rPr>
            </w:pPr>
            <w:r>
              <w:rPr>
                <w:rFonts w:ascii="Arial" w:cs="Arial" w:eastAsia="Arial" w:hAnsi="Arial"/>
                <w:sz w:val="14"/>
                <w:szCs w:val="14"/>
                <w:color w:val="auto"/>
              </w:rPr>
              <w:t> </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64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4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6460" w:type="dxa"/>
            <w:vAlign w:val="bottom"/>
            <w:shd w:val="clear" w:color="auto" w:fill="D7E8F5"/>
          </w:tcPr>
          <w:p>
            <w:pPr>
              <w:spacing w:after="0"/>
              <w:rPr>
                <w:sz w:val="20"/>
                <w:szCs w:val="20"/>
                <w:color w:val="auto"/>
              </w:rPr>
            </w:pPr>
            <w:r>
              <w:rPr>
                <w:rFonts w:ascii="Arial" w:cs="Arial" w:eastAsia="Arial" w:hAnsi="Arial"/>
                <w:sz w:val="14"/>
                <w:szCs w:val="14"/>
                <w:b w:val="1"/>
                <w:bCs w:val="1"/>
                <w:color w:val="2275B5"/>
              </w:rPr>
              <w:t>  Yvonne L. Greenstreet, MBChB</w:t>
            </w:r>
          </w:p>
        </w:tc>
        <w:tc>
          <w:tcPr>
            <w:tcW w:w="1940" w:type="dxa"/>
            <w:vAlign w:val="bottom"/>
            <w:shd w:val="clear" w:color="auto" w:fill="D7E8F5"/>
          </w:tcPr>
          <w:p>
            <w:pPr>
              <w:spacing w:after="0"/>
              <w:rPr>
                <w:sz w:val="24"/>
                <w:szCs w:val="24"/>
                <w:color w:val="auto"/>
              </w:rPr>
            </w:pPr>
          </w:p>
        </w:tc>
        <w:tc>
          <w:tcPr>
            <w:tcW w:w="1500" w:type="dxa"/>
            <w:vAlign w:val="bottom"/>
            <w:shd w:val="clear" w:color="auto" w:fill="D7E8F5"/>
          </w:tcPr>
          <w:p>
            <w:pPr>
              <w:ind w:left="300"/>
              <w:spacing w:after="0"/>
              <w:rPr>
                <w:sz w:val="20"/>
                <w:szCs w:val="20"/>
                <w:color w:val="auto"/>
              </w:rPr>
            </w:pPr>
            <w:r>
              <w:rPr>
                <w:rFonts w:ascii="Arial" w:cs="Arial" w:eastAsia="Arial" w:hAnsi="Arial"/>
                <w:sz w:val="14"/>
                <w:szCs w:val="14"/>
                <w:color w:val="auto"/>
              </w:rPr>
              <w:t> </w:t>
            </w:r>
          </w:p>
        </w:tc>
        <w:tc>
          <w:tcPr>
            <w:tcW w:w="1120" w:type="dxa"/>
            <w:vAlign w:val="bottom"/>
            <w:shd w:val="clear" w:color="auto" w:fill="D7E8F5"/>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460" w:type="dxa"/>
            <w:vAlign w:val="bottom"/>
            <w:shd w:val="clear" w:color="auto" w:fill="D7E8F5"/>
          </w:tcPr>
          <w:p>
            <w:pPr>
              <w:spacing w:after="0"/>
              <w:rPr>
                <w:sz w:val="6"/>
                <w:szCs w:val="6"/>
                <w:color w:val="auto"/>
              </w:rPr>
            </w:pPr>
          </w:p>
        </w:tc>
        <w:tc>
          <w:tcPr>
            <w:tcW w:w="1940" w:type="dxa"/>
            <w:vAlign w:val="bottom"/>
            <w:shd w:val="clear" w:color="auto" w:fill="D7E8F5"/>
          </w:tcPr>
          <w:p>
            <w:pPr>
              <w:spacing w:after="0"/>
              <w:rPr>
                <w:sz w:val="6"/>
                <w:szCs w:val="6"/>
                <w:color w:val="auto"/>
              </w:rPr>
            </w:pPr>
          </w:p>
        </w:tc>
        <w:tc>
          <w:tcPr>
            <w:tcW w:w="1500" w:type="dxa"/>
            <w:vAlign w:val="bottom"/>
            <w:shd w:val="clear" w:color="auto" w:fill="D7E8F5"/>
          </w:tcPr>
          <w:p>
            <w:pPr>
              <w:spacing w:after="0"/>
              <w:rPr>
                <w:sz w:val="6"/>
                <w:szCs w:val="6"/>
                <w:color w:val="auto"/>
              </w:rPr>
            </w:pPr>
          </w:p>
        </w:tc>
        <w:tc>
          <w:tcPr>
            <w:tcW w:w="1120" w:type="dxa"/>
            <w:vAlign w:val="bottom"/>
            <w:shd w:val="clear" w:color="auto" w:fill="D7E8F5"/>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6460" w:type="dxa"/>
            <w:vAlign w:val="bottom"/>
          </w:tcPr>
          <w:p>
            <w:pPr>
              <w:spacing w:after="0"/>
              <w:rPr>
                <w:sz w:val="20"/>
                <w:szCs w:val="20"/>
                <w:color w:val="auto"/>
              </w:rPr>
            </w:pPr>
            <w:r>
              <w:rPr>
                <w:rFonts w:ascii="Arial" w:cs="Arial" w:eastAsia="Arial" w:hAnsi="Arial"/>
                <w:sz w:val="14"/>
                <w:szCs w:val="14"/>
                <w:b w:val="1"/>
                <w:bCs w:val="1"/>
                <w:color w:val="2275B5"/>
              </w:rPr>
              <w:t>  Margaret A. Hamburg, M.D.</w:t>
            </w:r>
          </w:p>
        </w:tc>
        <w:tc>
          <w:tcPr>
            <w:tcW w:w="1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64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6460" w:type="dxa"/>
            <w:vAlign w:val="bottom"/>
            <w:shd w:val="clear" w:color="auto" w:fill="D7E8F5"/>
          </w:tcPr>
          <w:p>
            <w:pPr>
              <w:spacing w:after="0"/>
              <w:rPr>
                <w:sz w:val="20"/>
                <w:szCs w:val="20"/>
                <w:color w:val="auto"/>
              </w:rPr>
            </w:pPr>
            <w:r>
              <w:rPr>
                <w:rFonts w:ascii="Arial" w:cs="Arial" w:eastAsia="Arial" w:hAnsi="Arial"/>
                <w:sz w:val="14"/>
                <w:szCs w:val="14"/>
                <w:b w:val="1"/>
                <w:bCs w:val="1"/>
                <w:color w:val="2275B5"/>
              </w:rPr>
              <w:t>  Peter N. Kellogg</w:t>
            </w:r>
          </w:p>
        </w:tc>
        <w:tc>
          <w:tcPr>
            <w:tcW w:w="1940" w:type="dxa"/>
            <w:vAlign w:val="bottom"/>
            <w:shd w:val="clear" w:color="auto" w:fill="D7E8F5"/>
          </w:tcPr>
          <w:p>
            <w:pPr>
              <w:spacing w:after="0"/>
              <w:rPr>
                <w:sz w:val="23"/>
                <w:szCs w:val="23"/>
                <w:color w:val="auto"/>
              </w:rPr>
            </w:pPr>
          </w:p>
        </w:tc>
        <w:tc>
          <w:tcPr>
            <w:tcW w:w="1500" w:type="dxa"/>
            <w:vAlign w:val="bottom"/>
            <w:vMerge w:val="restart"/>
            <w:shd w:val="clear" w:color="auto" w:fill="D7E8F5"/>
          </w:tcPr>
          <w:p>
            <w:pPr>
              <w:ind w:left="300"/>
              <w:spacing w:after="0"/>
              <w:rPr>
                <w:sz w:val="20"/>
                <w:szCs w:val="20"/>
                <w:color w:val="auto"/>
              </w:rPr>
            </w:pPr>
            <w:r>
              <w:rPr>
                <w:rFonts w:ascii="Arial" w:cs="Arial" w:eastAsia="Arial" w:hAnsi="Arial"/>
                <w:sz w:val="14"/>
                <w:szCs w:val="14"/>
                <w:color w:val="auto"/>
              </w:rPr>
              <w:t> </w:t>
            </w:r>
          </w:p>
        </w:tc>
        <w:tc>
          <w:tcPr>
            <w:tcW w:w="1120" w:type="dxa"/>
            <w:vAlign w:val="bottom"/>
            <w:shd w:val="clear" w:color="auto" w:fill="D7E8F5"/>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6460" w:type="dxa"/>
            <w:vAlign w:val="bottom"/>
            <w:shd w:val="clear" w:color="auto" w:fill="D7E8F5"/>
          </w:tcPr>
          <w:p>
            <w:pPr>
              <w:spacing w:after="0"/>
              <w:rPr>
                <w:sz w:val="4"/>
                <w:szCs w:val="4"/>
                <w:color w:val="auto"/>
              </w:rPr>
            </w:pPr>
          </w:p>
        </w:tc>
        <w:tc>
          <w:tcPr>
            <w:tcW w:w="1940" w:type="dxa"/>
            <w:vAlign w:val="bottom"/>
            <w:shd w:val="clear" w:color="auto" w:fill="D7E8F5"/>
          </w:tcPr>
          <w:p>
            <w:pPr>
              <w:spacing w:after="0"/>
              <w:rPr>
                <w:sz w:val="4"/>
                <w:szCs w:val="4"/>
                <w:color w:val="auto"/>
              </w:rPr>
            </w:pPr>
          </w:p>
        </w:tc>
        <w:tc>
          <w:tcPr>
            <w:tcW w:w="1500" w:type="dxa"/>
            <w:vAlign w:val="bottom"/>
            <w:vMerge w:val="continue"/>
            <w:shd w:val="clear" w:color="auto" w:fill="D7E8F5"/>
          </w:tcPr>
          <w:p>
            <w:pPr>
              <w:spacing w:after="0"/>
              <w:rPr>
                <w:sz w:val="4"/>
                <w:szCs w:val="4"/>
                <w:color w:val="auto"/>
              </w:rPr>
            </w:pPr>
          </w:p>
        </w:tc>
        <w:tc>
          <w:tcPr>
            <w:tcW w:w="1120" w:type="dxa"/>
            <w:vAlign w:val="bottom"/>
            <w:shd w:val="clear" w:color="auto" w:fill="D7E8F5"/>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460" w:type="dxa"/>
            <w:vAlign w:val="bottom"/>
            <w:shd w:val="clear" w:color="auto" w:fill="D7E8F5"/>
          </w:tcPr>
          <w:p>
            <w:pPr>
              <w:spacing w:after="0"/>
              <w:rPr>
                <w:sz w:val="6"/>
                <w:szCs w:val="6"/>
                <w:color w:val="auto"/>
              </w:rPr>
            </w:pPr>
          </w:p>
        </w:tc>
        <w:tc>
          <w:tcPr>
            <w:tcW w:w="1940" w:type="dxa"/>
            <w:vAlign w:val="bottom"/>
            <w:shd w:val="clear" w:color="auto" w:fill="D7E8F5"/>
          </w:tcPr>
          <w:p>
            <w:pPr>
              <w:spacing w:after="0"/>
              <w:rPr>
                <w:sz w:val="6"/>
                <w:szCs w:val="6"/>
                <w:color w:val="auto"/>
              </w:rPr>
            </w:pPr>
          </w:p>
        </w:tc>
        <w:tc>
          <w:tcPr>
            <w:tcW w:w="1500" w:type="dxa"/>
            <w:vAlign w:val="bottom"/>
            <w:shd w:val="clear" w:color="auto" w:fill="D7E8F5"/>
          </w:tcPr>
          <w:p>
            <w:pPr>
              <w:spacing w:after="0"/>
              <w:rPr>
                <w:sz w:val="6"/>
                <w:szCs w:val="6"/>
                <w:color w:val="auto"/>
              </w:rPr>
            </w:pPr>
          </w:p>
        </w:tc>
        <w:tc>
          <w:tcPr>
            <w:tcW w:w="1120" w:type="dxa"/>
            <w:vAlign w:val="bottom"/>
            <w:shd w:val="clear" w:color="auto" w:fill="D7E8F5"/>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6460" w:type="dxa"/>
            <w:vAlign w:val="bottom"/>
          </w:tcPr>
          <w:p>
            <w:pPr>
              <w:spacing w:after="0"/>
              <w:rPr>
                <w:sz w:val="20"/>
                <w:szCs w:val="20"/>
                <w:color w:val="auto"/>
              </w:rPr>
            </w:pPr>
            <w:r>
              <w:rPr>
                <w:rFonts w:ascii="Arial" w:cs="Arial" w:eastAsia="Arial" w:hAnsi="Arial"/>
                <w:sz w:val="14"/>
                <w:szCs w:val="14"/>
                <w:b w:val="1"/>
                <w:bCs w:val="1"/>
                <w:color w:val="2275B5"/>
              </w:rPr>
              <w:t>  David E.I. Pyott</w:t>
            </w:r>
          </w:p>
        </w:tc>
        <w:tc>
          <w:tcPr>
            <w:tcW w:w="1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64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6460" w:type="dxa"/>
            <w:vAlign w:val="bottom"/>
            <w:shd w:val="clear" w:color="auto" w:fill="D7E8F5"/>
          </w:tcPr>
          <w:p>
            <w:pPr>
              <w:spacing w:after="0"/>
              <w:rPr>
                <w:sz w:val="20"/>
                <w:szCs w:val="20"/>
                <w:color w:val="auto"/>
              </w:rPr>
            </w:pPr>
            <w:r>
              <w:rPr>
                <w:rFonts w:ascii="Arial" w:cs="Arial" w:eastAsia="Arial" w:hAnsi="Arial"/>
                <w:sz w:val="14"/>
                <w:szCs w:val="14"/>
                <w:b w:val="1"/>
                <w:bCs w:val="1"/>
                <w:color w:val="2275B5"/>
              </w:rPr>
              <w:t>  Colleen F. Reitan</w:t>
            </w:r>
          </w:p>
        </w:tc>
        <w:tc>
          <w:tcPr>
            <w:tcW w:w="1940" w:type="dxa"/>
            <w:vAlign w:val="bottom"/>
            <w:shd w:val="clear" w:color="auto" w:fill="D7E8F5"/>
          </w:tcPr>
          <w:p>
            <w:pPr>
              <w:spacing w:after="0"/>
              <w:rPr>
                <w:sz w:val="23"/>
                <w:szCs w:val="23"/>
                <w:color w:val="auto"/>
              </w:rPr>
            </w:pPr>
          </w:p>
        </w:tc>
        <w:tc>
          <w:tcPr>
            <w:tcW w:w="1500" w:type="dxa"/>
            <w:vAlign w:val="bottom"/>
            <w:vMerge w:val="restart"/>
            <w:shd w:val="clear" w:color="auto" w:fill="D7E8F5"/>
          </w:tcPr>
          <w:p>
            <w:pPr>
              <w:ind w:left="300"/>
              <w:spacing w:after="0"/>
              <w:rPr>
                <w:sz w:val="20"/>
                <w:szCs w:val="20"/>
                <w:color w:val="auto"/>
              </w:rPr>
            </w:pPr>
            <w:r>
              <w:rPr>
                <w:rFonts w:ascii="Arial" w:cs="Arial" w:eastAsia="Arial" w:hAnsi="Arial"/>
                <w:sz w:val="14"/>
                <w:szCs w:val="14"/>
                <w:color w:val="auto"/>
              </w:rPr>
              <w:t> </w:t>
            </w:r>
          </w:p>
        </w:tc>
        <w:tc>
          <w:tcPr>
            <w:tcW w:w="1120" w:type="dxa"/>
            <w:vAlign w:val="bottom"/>
            <w:shd w:val="clear" w:color="auto" w:fill="D7E8F5"/>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6460" w:type="dxa"/>
            <w:vAlign w:val="bottom"/>
            <w:shd w:val="clear" w:color="auto" w:fill="D7E8F5"/>
          </w:tcPr>
          <w:p>
            <w:pPr>
              <w:spacing w:after="0"/>
              <w:rPr>
                <w:sz w:val="4"/>
                <w:szCs w:val="4"/>
                <w:color w:val="auto"/>
              </w:rPr>
            </w:pPr>
          </w:p>
        </w:tc>
        <w:tc>
          <w:tcPr>
            <w:tcW w:w="1940" w:type="dxa"/>
            <w:vAlign w:val="bottom"/>
            <w:shd w:val="clear" w:color="auto" w:fill="D7E8F5"/>
          </w:tcPr>
          <w:p>
            <w:pPr>
              <w:spacing w:after="0"/>
              <w:rPr>
                <w:sz w:val="4"/>
                <w:szCs w:val="4"/>
                <w:color w:val="auto"/>
              </w:rPr>
            </w:pPr>
          </w:p>
        </w:tc>
        <w:tc>
          <w:tcPr>
            <w:tcW w:w="1500" w:type="dxa"/>
            <w:vAlign w:val="bottom"/>
            <w:vMerge w:val="continue"/>
            <w:shd w:val="clear" w:color="auto" w:fill="D7E8F5"/>
          </w:tcPr>
          <w:p>
            <w:pPr>
              <w:spacing w:after="0"/>
              <w:rPr>
                <w:sz w:val="4"/>
                <w:szCs w:val="4"/>
                <w:color w:val="auto"/>
              </w:rPr>
            </w:pPr>
          </w:p>
        </w:tc>
        <w:tc>
          <w:tcPr>
            <w:tcW w:w="1120" w:type="dxa"/>
            <w:vAlign w:val="bottom"/>
            <w:shd w:val="clear" w:color="auto" w:fill="D7E8F5"/>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460" w:type="dxa"/>
            <w:vAlign w:val="bottom"/>
            <w:shd w:val="clear" w:color="auto" w:fill="D7E8F5"/>
          </w:tcPr>
          <w:p>
            <w:pPr>
              <w:spacing w:after="0"/>
              <w:rPr>
                <w:sz w:val="6"/>
                <w:szCs w:val="6"/>
                <w:color w:val="auto"/>
              </w:rPr>
            </w:pPr>
          </w:p>
        </w:tc>
        <w:tc>
          <w:tcPr>
            <w:tcW w:w="1940" w:type="dxa"/>
            <w:vAlign w:val="bottom"/>
            <w:shd w:val="clear" w:color="auto" w:fill="D7E8F5"/>
          </w:tcPr>
          <w:p>
            <w:pPr>
              <w:spacing w:after="0"/>
              <w:rPr>
                <w:sz w:val="6"/>
                <w:szCs w:val="6"/>
                <w:color w:val="auto"/>
              </w:rPr>
            </w:pPr>
          </w:p>
        </w:tc>
        <w:tc>
          <w:tcPr>
            <w:tcW w:w="1500" w:type="dxa"/>
            <w:vAlign w:val="bottom"/>
            <w:shd w:val="clear" w:color="auto" w:fill="D7E8F5"/>
          </w:tcPr>
          <w:p>
            <w:pPr>
              <w:spacing w:after="0"/>
              <w:rPr>
                <w:sz w:val="6"/>
                <w:szCs w:val="6"/>
                <w:color w:val="auto"/>
              </w:rPr>
            </w:pPr>
          </w:p>
        </w:tc>
        <w:tc>
          <w:tcPr>
            <w:tcW w:w="1120" w:type="dxa"/>
            <w:vAlign w:val="bottom"/>
            <w:shd w:val="clear" w:color="auto" w:fill="D7E8F5"/>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6460" w:type="dxa"/>
            <w:vAlign w:val="bottom"/>
          </w:tcPr>
          <w:p>
            <w:pPr>
              <w:spacing w:after="0"/>
              <w:rPr>
                <w:sz w:val="20"/>
                <w:szCs w:val="20"/>
                <w:color w:val="auto"/>
              </w:rPr>
            </w:pPr>
            <w:r>
              <w:rPr>
                <w:rFonts w:ascii="Arial" w:cs="Arial" w:eastAsia="Arial" w:hAnsi="Arial"/>
                <w:sz w:val="14"/>
                <w:szCs w:val="14"/>
                <w:b w:val="1"/>
                <w:bCs w:val="1"/>
                <w:color w:val="2275B5"/>
              </w:rPr>
              <w:t>  Amy W. Schulman #</w:t>
            </w:r>
          </w:p>
        </w:tc>
        <w:tc>
          <w:tcPr>
            <w:tcW w:w="1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64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6460" w:type="dxa"/>
            <w:vAlign w:val="bottom"/>
            <w:shd w:val="clear" w:color="auto" w:fill="D7E8F5"/>
          </w:tcPr>
          <w:p>
            <w:pPr>
              <w:spacing w:after="0"/>
              <w:rPr>
                <w:sz w:val="20"/>
                <w:szCs w:val="20"/>
                <w:color w:val="auto"/>
              </w:rPr>
            </w:pPr>
            <w:r>
              <w:rPr>
                <w:rFonts w:ascii="Arial" w:cs="Arial" w:eastAsia="Arial" w:hAnsi="Arial"/>
                <w:sz w:val="14"/>
                <w:szCs w:val="14"/>
                <w:b w:val="1"/>
                <w:bCs w:val="1"/>
                <w:color w:val="2275B5"/>
              </w:rPr>
              <w:t>  Phillip A. Sharp, Ph.D.</w:t>
            </w:r>
          </w:p>
        </w:tc>
        <w:tc>
          <w:tcPr>
            <w:tcW w:w="1940" w:type="dxa"/>
            <w:vAlign w:val="bottom"/>
            <w:shd w:val="clear" w:color="auto" w:fill="D7E8F5"/>
          </w:tcPr>
          <w:p>
            <w:pPr>
              <w:spacing w:after="0"/>
              <w:rPr>
                <w:sz w:val="23"/>
                <w:szCs w:val="23"/>
                <w:color w:val="auto"/>
              </w:rPr>
            </w:pPr>
          </w:p>
        </w:tc>
        <w:tc>
          <w:tcPr>
            <w:tcW w:w="1500" w:type="dxa"/>
            <w:vAlign w:val="bottom"/>
            <w:vMerge w:val="restart"/>
            <w:shd w:val="clear" w:color="auto" w:fill="D7E8F5"/>
          </w:tcPr>
          <w:p>
            <w:pPr>
              <w:ind w:left="300"/>
              <w:spacing w:after="0"/>
              <w:rPr>
                <w:sz w:val="20"/>
                <w:szCs w:val="20"/>
                <w:color w:val="auto"/>
              </w:rPr>
            </w:pPr>
            <w:r>
              <w:rPr>
                <w:rFonts w:ascii="Arial" w:cs="Arial" w:eastAsia="Arial" w:hAnsi="Arial"/>
                <w:sz w:val="14"/>
                <w:szCs w:val="14"/>
                <w:color w:val="auto"/>
              </w:rPr>
              <w:t> </w:t>
            </w:r>
          </w:p>
        </w:tc>
        <w:tc>
          <w:tcPr>
            <w:tcW w:w="1120" w:type="dxa"/>
            <w:vAlign w:val="bottom"/>
            <w:shd w:val="clear" w:color="auto" w:fill="D7E8F5"/>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6460" w:type="dxa"/>
            <w:vAlign w:val="bottom"/>
            <w:shd w:val="clear" w:color="auto" w:fill="D7E8F5"/>
          </w:tcPr>
          <w:p>
            <w:pPr>
              <w:spacing w:after="0"/>
              <w:rPr>
                <w:sz w:val="4"/>
                <w:szCs w:val="4"/>
                <w:color w:val="auto"/>
              </w:rPr>
            </w:pPr>
          </w:p>
        </w:tc>
        <w:tc>
          <w:tcPr>
            <w:tcW w:w="1940" w:type="dxa"/>
            <w:vAlign w:val="bottom"/>
            <w:shd w:val="clear" w:color="auto" w:fill="D7E8F5"/>
          </w:tcPr>
          <w:p>
            <w:pPr>
              <w:spacing w:after="0"/>
              <w:rPr>
                <w:sz w:val="4"/>
                <w:szCs w:val="4"/>
                <w:color w:val="auto"/>
              </w:rPr>
            </w:pPr>
          </w:p>
        </w:tc>
        <w:tc>
          <w:tcPr>
            <w:tcW w:w="1500" w:type="dxa"/>
            <w:vAlign w:val="bottom"/>
            <w:vMerge w:val="continue"/>
            <w:shd w:val="clear" w:color="auto" w:fill="D7E8F5"/>
          </w:tcPr>
          <w:p>
            <w:pPr>
              <w:spacing w:after="0"/>
              <w:rPr>
                <w:sz w:val="4"/>
                <w:szCs w:val="4"/>
                <w:color w:val="auto"/>
              </w:rPr>
            </w:pPr>
          </w:p>
        </w:tc>
        <w:tc>
          <w:tcPr>
            <w:tcW w:w="1120" w:type="dxa"/>
            <w:vAlign w:val="bottom"/>
            <w:shd w:val="clear" w:color="auto" w:fill="D7E8F5"/>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460" w:type="dxa"/>
            <w:vAlign w:val="bottom"/>
            <w:shd w:val="clear" w:color="auto" w:fill="D7E8F5"/>
          </w:tcPr>
          <w:p>
            <w:pPr>
              <w:spacing w:after="0"/>
              <w:rPr>
                <w:sz w:val="6"/>
                <w:szCs w:val="6"/>
                <w:color w:val="auto"/>
              </w:rPr>
            </w:pPr>
          </w:p>
        </w:tc>
        <w:tc>
          <w:tcPr>
            <w:tcW w:w="1940" w:type="dxa"/>
            <w:vAlign w:val="bottom"/>
            <w:shd w:val="clear" w:color="auto" w:fill="D7E8F5"/>
          </w:tcPr>
          <w:p>
            <w:pPr>
              <w:spacing w:after="0"/>
              <w:rPr>
                <w:sz w:val="6"/>
                <w:szCs w:val="6"/>
                <w:color w:val="auto"/>
              </w:rPr>
            </w:pPr>
          </w:p>
        </w:tc>
        <w:tc>
          <w:tcPr>
            <w:tcW w:w="1500" w:type="dxa"/>
            <w:vAlign w:val="bottom"/>
            <w:shd w:val="clear" w:color="auto" w:fill="D7E8F5"/>
          </w:tcPr>
          <w:p>
            <w:pPr>
              <w:spacing w:after="0"/>
              <w:rPr>
                <w:sz w:val="6"/>
                <w:szCs w:val="6"/>
                <w:color w:val="auto"/>
              </w:rPr>
            </w:pPr>
          </w:p>
        </w:tc>
        <w:tc>
          <w:tcPr>
            <w:tcW w:w="1120" w:type="dxa"/>
            <w:vAlign w:val="bottom"/>
            <w:shd w:val="clear" w:color="auto" w:fill="D7E8F5"/>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6460" w:type="dxa"/>
            <w:vAlign w:val="bottom"/>
          </w:tcPr>
          <w:p>
            <w:pPr>
              <w:spacing w:after="0"/>
              <w:rPr>
                <w:sz w:val="20"/>
                <w:szCs w:val="20"/>
                <w:color w:val="auto"/>
              </w:rPr>
            </w:pPr>
            <w:r>
              <w:rPr>
                <w:rFonts w:ascii="Arial" w:cs="Arial" w:eastAsia="Arial" w:hAnsi="Arial"/>
                <w:sz w:val="14"/>
                <w:szCs w:val="14"/>
                <w:b w:val="1"/>
                <w:bCs w:val="1"/>
                <w:color w:val="2275B5"/>
              </w:rPr>
              <w:t>  Elliott Sigal, M.D., Ph.D.</w:t>
            </w:r>
          </w:p>
        </w:tc>
        <w:tc>
          <w:tcPr>
            <w:tcW w:w="1940" w:type="dxa"/>
            <w:vAlign w:val="bottom"/>
          </w:tcPr>
          <w:p>
            <w:pPr>
              <w:spacing w:after="0"/>
              <w:rPr>
                <w:sz w:val="23"/>
                <w:szCs w:val="23"/>
                <w:color w:val="auto"/>
              </w:rPr>
            </w:pPr>
          </w:p>
        </w:tc>
        <w:tc>
          <w:tcPr>
            <w:tcW w:w="1500" w:type="dxa"/>
            <w:vAlign w:val="bottom"/>
            <w:vMerge w:val="restart"/>
          </w:tcPr>
          <w:p>
            <w:pPr>
              <w:ind w:left="760"/>
              <w:spacing w:after="0"/>
              <w:rPr>
                <w:sz w:val="20"/>
                <w:szCs w:val="20"/>
                <w:color w:val="auto"/>
              </w:rPr>
            </w:pPr>
            <w:r>
              <w:rPr>
                <w:rFonts w:ascii="Arial" w:cs="Arial" w:eastAsia="Arial" w:hAnsi="Arial"/>
                <w:sz w:val="14"/>
                <w:szCs w:val="14"/>
                <w:color w:val="auto"/>
              </w:rPr>
              <w:t> </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64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3"/>
        </w:trPr>
        <w:tc>
          <w:tcPr>
            <w:tcW w:w="6460" w:type="dxa"/>
            <w:vAlign w:val="bottom"/>
          </w:tcPr>
          <w:p>
            <w:pPr>
              <w:ind w:left="10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Chair of Board       Committee Chair       Member</w:t>
            </w:r>
          </w:p>
        </w:tc>
        <w:tc>
          <w:tcPr>
            <w:tcW w:w="1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-3230245</wp:posOffset>
            </wp:positionV>
            <wp:extent cx="7747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-3230245</wp:posOffset>
            </wp:positionV>
            <wp:extent cx="7683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-2981325</wp:posOffset>
            </wp:positionV>
            <wp:extent cx="7747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-2981325</wp:posOffset>
            </wp:positionV>
            <wp:extent cx="7683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-2493010</wp:posOffset>
            </wp:positionV>
            <wp:extent cx="7747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-2493010</wp:posOffset>
            </wp:positionV>
            <wp:extent cx="7683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-2004060</wp:posOffset>
            </wp:positionV>
            <wp:extent cx="7747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-1755775</wp:posOffset>
            </wp:positionV>
            <wp:extent cx="7747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-1506855</wp:posOffset>
            </wp:positionV>
            <wp:extent cx="7747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-1258570</wp:posOffset>
            </wp:positionV>
            <wp:extent cx="7747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-1258570</wp:posOffset>
            </wp:positionV>
            <wp:extent cx="76835"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-1009650</wp:posOffset>
            </wp:positionV>
            <wp:extent cx="7747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-761365</wp:posOffset>
            </wp:positionV>
            <wp:extent cx="7683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-512445</wp:posOffset>
            </wp:positionV>
            <wp:extent cx="7683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-512445</wp:posOffset>
            </wp:positionV>
            <wp:extent cx="7683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-238125</wp:posOffset>
            </wp:positionV>
            <wp:extent cx="7683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-238125</wp:posOffset>
            </wp:positionV>
            <wp:extent cx="7683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137160"/>
                    </a:xfrm>
                    <a:prstGeom prst="rect">
                      <a:avLst/>
                    </a:prstGeom>
                    <a:noFill/>
                  </pic:spPr>
                </pic:pic>
              </a:graphicData>
            </a:graphic>
          </wp:anchor>
        </w:drawing>
      </w:r>
    </w:p>
    <w:p>
      <w:pPr>
        <w:spacing w:after="0" w:line="41"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Audit Committee</w:t>
      </w:r>
    </w:p>
    <w:p>
      <w:pPr>
        <w:spacing w:after="0" w:line="202" w:lineRule="exact"/>
        <w:rPr>
          <w:sz w:val="20"/>
          <w:szCs w:val="20"/>
          <w:color w:val="auto"/>
        </w:rPr>
      </w:pPr>
    </w:p>
    <w:p>
      <w:pPr>
        <w:jc w:val="both"/>
        <w:ind w:left="120" w:right="20" w:firstLine="771"/>
        <w:spacing w:after="0" w:line="284" w:lineRule="auto"/>
        <w:rPr>
          <w:sz w:val="20"/>
          <w:szCs w:val="20"/>
          <w:color w:val="auto"/>
        </w:rPr>
      </w:pPr>
      <w:r>
        <w:rPr>
          <w:rFonts w:ascii="Arial" w:cs="Arial" w:eastAsia="Arial" w:hAnsi="Arial"/>
          <w:sz w:val="19"/>
          <w:szCs w:val="19"/>
          <w:color w:val="auto"/>
        </w:rPr>
        <w:t>As described more fully in its charter, the audit committee oversees our accounting and financial reporting processes, internal controls and audit functions. In fulfilling its role, our audit committee is responsible for, among other things:</w:t>
      </w:r>
    </w:p>
    <w:p>
      <w:pPr>
        <w:spacing w:after="0" w:line="158" w:lineRule="exact"/>
        <w:rPr>
          <w:sz w:val="20"/>
          <w:szCs w:val="20"/>
          <w:color w:val="auto"/>
        </w:rPr>
      </w:pPr>
    </w:p>
    <w:p>
      <w:pPr>
        <w:ind w:left="1320" w:right="880" w:hanging="435"/>
        <w:spacing w:after="0" w:line="257" w:lineRule="auto"/>
        <w:tabs>
          <w:tab w:leader="none" w:pos="13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appointing, evaluating, retaining, approving the compensation of and, when necessary, terminating the engagement of our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320" w:right="260" w:hanging="435"/>
        <w:spacing w:after="0" w:line="257" w:lineRule="auto"/>
        <w:tabs>
          <w:tab w:leader="none" w:pos="1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taking appropriate action, or recommending that our board of directors take appropriate action, to oversee the independence of our independent auditors;</w:t>
      </w:r>
    </w:p>
    <w:p>
      <w:pPr>
        <w:spacing w:after="0" w:line="182" w:lineRule="exact"/>
        <w:rPr>
          <w:rFonts w:ascii="Arial" w:cs="Arial" w:eastAsia="Arial" w:hAnsi="Arial"/>
          <w:sz w:val="20"/>
          <w:szCs w:val="20"/>
          <w:color w:val="auto"/>
        </w:rPr>
      </w:pPr>
    </w:p>
    <w:p>
      <w:pPr>
        <w:ind w:left="1320" w:right="20" w:hanging="435"/>
        <w:spacing w:after="0" w:line="241" w:lineRule="auto"/>
        <w:tabs>
          <w:tab w:leader="none" w:pos="1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reviewing and discussing with management and the independent auditors our annual and quarterly financial statements and related disclosures, including earnings releases, financial guidance and disclosure of non-GAAP financial measures;</w:t>
      </w:r>
    </w:p>
    <w:p>
      <w:pPr>
        <w:spacing w:after="0" w:line="198" w:lineRule="exact"/>
        <w:rPr>
          <w:rFonts w:ascii="Arial" w:cs="Arial" w:eastAsia="Arial" w:hAnsi="Arial"/>
          <w:sz w:val="20"/>
          <w:szCs w:val="20"/>
          <w:color w:val="auto"/>
        </w:rPr>
      </w:pPr>
    </w:p>
    <w:p>
      <w:pPr>
        <w:ind w:left="1320" w:right="60" w:hanging="435"/>
        <w:spacing w:after="0" w:line="257" w:lineRule="auto"/>
        <w:tabs>
          <w:tab w:leader="none" w:pos="1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monitoring our internal control over financial reporting, disclosure controls and procedures, and compliance with financial corporate securities, tax and similar regulatory or legal requirements relating to financial matters;</w:t>
      </w:r>
    </w:p>
    <w:p>
      <w:pPr>
        <w:spacing w:after="0" w:line="182" w:lineRule="exact"/>
        <w:rPr>
          <w:rFonts w:ascii="Arial" w:cs="Arial" w:eastAsia="Arial" w:hAnsi="Arial"/>
          <w:sz w:val="20"/>
          <w:szCs w:val="20"/>
          <w:color w:val="auto"/>
        </w:rPr>
      </w:pPr>
    </w:p>
    <w:p>
      <w:pPr>
        <w:ind w:left="1320" w:hanging="435"/>
        <w:spacing w:after="0"/>
        <w:tabs>
          <w:tab w:leader="none" w:pos="1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overseeing the performance of internal audit activities carried out by our internal audit function;</w:t>
      </w:r>
    </w:p>
    <w:p>
      <w:pPr>
        <w:spacing w:after="0" w:line="229" w:lineRule="exact"/>
        <w:rPr>
          <w:rFonts w:ascii="Arial" w:cs="Arial" w:eastAsia="Arial" w:hAnsi="Arial"/>
          <w:sz w:val="20"/>
          <w:szCs w:val="20"/>
          <w:color w:val="auto"/>
        </w:rPr>
      </w:pPr>
    </w:p>
    <w:p>
      <w:pPr>
        <w:ind w:left="1320" w:right="460" w:hanging="435"/>
        <w:spacing w:after="0" w:line="257" w:lineRule="auto"/>
        <w:tabs>
          <w:tab w:leader="none" w:pos="1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reviewing and discussing our financial risk management policies, including but not limited to our investment policy;</w:t>
      </w:r>
    </w:p>
    <w:p>
      <w:pPr>
        <w:spacing w:after="0" w:line="182" w:lineRule="exact"/>
        <w:rPr>
          <w:rFonts w:ascii="Arial" w:cs="Arial" w:eastAsia="Arial" w:hAnsi="Arial"/>
          <w:sz w:val="20"/>
          <w:szCs w:val="20"/>
          <w:color w:val="auto"/>
        </w:rPr>
      </w:pPr>
    </w:p>
    <w:p>
      <w:pPr>
        <w:ind w:left="1320" w:hanging="435"/>
        <w:spacing w:after="0"/>
        <w:tabs>
          <w:tab w:leader="none" w:pos="1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reviewing and approving matters related to tax planning;</w:t>
      </w:r>
    </w:p>
    <w:p>
      <w:pPr>
        <w:spacing w:after="0" w:line="229" w:lineRule="exact"/>
        <w:rPr>
          <w:rFonts w:ascii="Arial" w:cs="Arial" w:eastAsia="Arial" w:hAnsi="Arial"/>
          <w:sz w:val="20"/>
          <w:szCs w:val="20"/>
          <w:color w:val="auto"/>
        </w:rPr>
      </w:pPr>
    </w:p>
    <w:p>
      <w:pPr>
        <w:ind w:left="1320" w:right="240" w:hanging="435"/>
        <w:spacing w:after="0" w:line="257" w:lineRule="auto"/>
        <w:tabs>
          <w:tab w:leader="none" w:pos="1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establishing policies regarding hiring employees from our independent auditors and procedures for the receipt and retention of accounting-related complaints and concerns;</w:t>
      </w:r>
    </w:p>
    <w:p>
      <w:pPr>
        <w:spacing w:after="0" w:line="182" w:lineRule="exact"/>
        <w:rPr>
          <w:rFonts w:ascii="Arial" w:cs="Arial" w:eastAsia="Arial" w:hAnsi="Arial"/>
          <w:sz w:val="20"/>
          <w:szCs w:val="20"/>
          <w:color w:val="auto"/>
        </w:rPr>
      </w:pPr>
    </w:p>
    <w:p>
      <w:pPr>
        <w:ind w:left="1320" w:hanging="435"/>
        <w:spacing w:after="0"/>
        <w:tabs>
          <w:tab w:leader="none" w:pos="1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meeting independently with our independent auditors and management; and</w:t>
      </w:r>
    </w:p>
    <w:p>
      <w:pPr>
        <w:spacing w:after="0" w:line="229" w:lineRule="exact"/>
        <w:rPr>
          <w:rFonts w:ascii="Arial" w:cs="Arial" w:eastAsia="Arial" w:hAnsi="Arial"/>
          <w:sz w:val="20"/>
          <w:szCs w:val="20"/>
          <w:color w:val="auto"/>
        </w:rPr>
      </w:pPr>
    </w:p>
    <w:p>
      <w:pPr>
        <w:ind w:left="1320" w:right="160" w:hanging="435"/>
        <w:spacing w:after="0" w:line="257" w:lineRule="auto"/>
        <w:tabs>
          <w:tab w:leader="none" w:pos="1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preparing the annual audit committee report required by SEC rules, which is included below under the heading “Report of the Audit Committee.”</w:t>
      </w:r>
    </w:p>
    <w:p>
      <w:pPr>
        <w:spacing w:after="0" w:line="155" w:lineRule="exact"/>
        <w:rPr>
          <w:sz w:val="20"/>
          <w:szCs w:val="20"/>
          <w:color w:val="auto"/>
        </w:rPr>
      </w:pPr>
    </w:p>
    <w:p>
      <w:pPr>
        <w:ind w:left="120" w:right="620" w:firstLine="771"/>
        <w:spacing w:after="0" w:line="260" w:lineRule="auto"/>
        <w:rPr>
          <w:sz w:val="20"/>
          <w:szCs w:val="20"/>
          <w:color w:val="auto"/>
        </w:rPr>
      </w:pPr>
      <w:r>
        <w:rPr>
          <w:rFonts w:ascii="Arial" w:cs="Arial" w:eastAsia="Arial" w:hAnsi="Arial"/>
          <w:sz w:val="19"/>
          <w:szCs w:val="19"/>
          <w:color w:val="auto"/>
        </w:rPr>
        <w:t>In addition, our audit committee must approve or ratify any related person transaction as defined in our related person transaction policy. Our policies and procedures for the review and approval of related person transactions are summarized under the heading “Policies and Procedures for Related Person Transactions,” which appears below.</w:t>
      </w:r>
    </w:p>
    <w:p>
      <w:pPr>
        <w:spacing w:after="0" w:line="154" w:lineRule="exact"/>
        <w:rPr>
          <w:sz w:val="20"/>
          <w:szCs w:val="20"/>
          <w:color w:val="auto"/>
        </w:rPr>
      </w:pPr>
    </w:p>
    <w:p>
      <w:pPr>
        <w:ind w:left="120" w:right="80" w:firstLine="771"/>
        <w:spacing w:after="0" w:line="242" w:lineRule="auto"/>
        <w:rPr>
          <w:sz w:val="20"/>
          <w:szCs w:val="20"/>
          <w:color w:val="auto"/>
        </w:rPr>
      </w:pPr>
      <w:r>
        <w:rPr>
          <w:rFonts w:ascii="Arial" w:cs="Arial" w:eastAsia="Arial" w:hAnsi="Arial"/>
          <w:sz w:val="19"/>
          <w:szCs w:val="19"/>
          <w:color w:val="auto"/>
        </w:rPr>
        <w:t>The current members of our audit committee are Mr. Kellogg (Chair), Ms. Reitan and Dr. Brandicourt. In September 2023, Ms. Fanucci resigned from our board and as chair of the committee, at which time Mr. Kellogg was appointed chair. We believe that each member of our audit committee satisfies the requirements for membership, including independence, under the Nasdaq Marketplace Rules and Rule 10A-3(b)(1) under the Exchange Act. Our board has determined that each of</w:t>
      </w:r>
    </w:p>
    <w:p>
      <w:pPr>
        <w:spacing w:after="0" w:line="1" w:lineRule="exact"/>
        <w:rPr>
          <w:sz w:val="20"/>
          <w:szCs w:val="20"/>
          <w:color w:val="auto"/>
        </w:rPr>
      </w:pPr>
    </w:p>
    <w:p>
      <w:pPr>
        <w:ind w:left="120" w:right="760"/>
        <w:spacing w:after="0" w:line="239" w:lineRule="auto"/>
        <w:rPr>
          <w:sz w:val="20"/>
          <w:szCs w:val="20"/>
          <w:color w:val="auto"/>
        </w:rPr>
      </w:pPr>
      <w:r>
        <w:rPr>
          <w:rFonts w:ascii="Arial" w:cs="Arial" w:eastAsia="Arial" w:hAnsi="Arial"/>
          <w:sz w:val="20"/>
          <w:szCs w:val="20"/>
          <w:color w:val="auto"/>
        </w:rPr>
        <w:t>Mr. Kellogg and Ms. Reitan is an “audit committee financial expert” as defined in Item 407(d)(5) of Regulation S-K. No member of our audit committee is the beneficial owner of more than 10%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131445</wp:posOffset>
            </wp:positionV>
            <wp:extent cx="7011670" cy="522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11670" cy="5226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Our audit committee met six times during 2023, either in person or by teleconference.</w:t>
      </w:r>
    </w:p>
    <w:p>
      <w:pPr>
        <w:spacing w:after="0" w:line="200" w:lineRule="exact"/>
        <w:rPr>
          <w:sz w:val="20"/>
          <w:szCs w:val="20"/>
          <w:color w:val="auto"/>
        </w:rPr>
      </w:pPr>
    </w:p>
    <w:p>
      <w:pPr>
        <w:spacing w:after="0" w:line="299"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People, Culture and Compensation Committee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Our PC&amp;C committee’s (formerly the compensation committee) responsibilities include, among other things:</w:t>
      </w:r>
    </w:p>
    <w:p>
      <w:pPr>
        <w:spacing w:after="0" w:line="229" w:lineRule="exact"/>
        <w:rPr>
          <w:sz w:val="20"/>
          <w:szCs w:val="20"/>
          <w:color w:val="auto"/>
        </w:rPr>
      </w:pPr>
    </w:p>
    <w:p>
      <w:pPr>
        <w:ind w:left="1320" w:right="300" w:hanging="435"/>
        <w:spacing w:after="0" w:line="257" w:lineRule="auto"/>
        <w:tabs>
          <w:tab w:leader="none" w:pos="13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annually reviewing and making recommendations to our board with respect to corporate goals and objectives relevant to the compensation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320" w:right="200" w:hanging="435"/>
        <w:spacing w:after="0" w:line="241" w:lineRule="auto"/>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reviewing and approving the compensation of our executive officers, other than our chief executive officer, and reviewing and making recommendations to our board with respect to the compensation of our chief executive officer;</w:t>
      </w:r>
    </w:p>
    <w:p>
      <w:pPr>
        <w:spacing w:after="0" w:line="198" w:lineRule="exact"/>
        <w:rPr>
          <w:rFonts w:ascii="Arial" w:cs="Arial" w:eastAsia="Arial" w:hAnsi="Arial"/>
          <w:sz w:val="20"/>
          <w:szCs w:val="20"/>
          <w:color w:val="auto"/>
        </w:rPr>
      </w:pPr>
    </w:p>
    <w:p>
      <w:pPr>
        <w:ind w:left="1320" w:hanging="435"/>
        <w:spacing w:after="0"/>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overseeing an evaluation of the performance of our senior executives;</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reviewing and making recommendations to our board with respect to management succession planning;</w:t>
      </w:r>
    </w:p>
    <w:p>
      <w:pPr>
        <w:spacing w:after="0" w:line="229" w:lineRule="exact"/>
        <w:rPr>
          <w:rFonts w:ascii="Arial" w:cs="Arial" w:eastAsia="Arial" w:hAnsi="Arial"/>
          <w:sz w:val="20"/>
          <w:szCs w:val="20"/>
          <w:color w:val="auto"/>
        </w:rPr>
      </w:pPr>
    </w:p>
    <w:p>
      <w:pPr>
        <w:ind w:left="1320" w:right="160" w:hanging="435"/>
        <w:spacing w:after="0" w:line="241" w:lineRule="auto"/>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assisting the board with the development, implementation and effectiveness of our talent management policies and strategies, including recruiting, retention, career development and progression, leadership development, diversity, inclusion and employment practices;</w:t>
      </w:r>
    </w:p>
    <w:p>
      <w:pPr>
        <w:spacing w:after="0" w:line="198" w:lineRule="exact"/>
        <w:rPr>
          <w:rFonts w:ascii="Arial" w:cs="Arial" w:eastAsia="Arial" w:hAnsi="Arial"/>
          <w:sz w:val="20"/>
          <w:szCs w:val="20"/>
          <w:color w:val="auto"/>
        </w:rPr>
      </w:pPr>
    </w:p>
    <w:p>
      <w:pPr>
        <w:ind w:left="1320" w:right="180" w:hanging="435"/>
        <w:spacing w:after="0" w:line="257" w:lineRule="auto"/>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overseeing and administering our stock-based compensation plans and performing the duties delegated to the PC&amp;C committee by the terms of those plans;</w:t>
      </w:r>
    </w:p>
    <w:p>
      <w:pPr>
        <w:spacing w:after="0" w:line="182" w:lineRule="exact"/>
        <w:rPr>
          <w:rFonts w:ascii="Arial" w:cs="Arial" w:eastAsia="Arial" w:hAnsi="Arial"/>
          <w:sz w:val="20"/>
          <w:szCs w:val="20"/>
          <w:color w:val="auto"/>
        </w:rPr>
      </w:pPr>
    </w:p>
    <w:p>
      <w:pPr>
        <w:ind w:left="1320" w:right="460" w:hanging="435"/>
        <w:spacing w:after="0" w:line="257" w:lineRule="auto"/>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reviewing and making recommendations to our board with respect to non-employee director compensation, including compensation under any equity-based plans;</w:t>
      </w:r>
    </w:p>
    <w:p>
      <w:pPr>
        <w:spacing w:after="0" w:line="182" w:lineRule="exact"/>
        <w:rPr>
          <w:rFonts w:ascii="Arial" w:cs="Arial" w:eastAsia="Arial" w:hAnsi="Arial"/>
          <w:sz w:val="20"/>
          <w:szCs w:val="20"/>
          <w:color w:val="auto"/>
        </w:rPr>
      </w:pPr>
    </w:p>
    <w:p>
      <w:pPr>
        <w:ind w:left="1320" w:right="300" w:hanging="435"/>
        <w:spacing w:after="0" w:line="257" w:lineRule="auto"/>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reviewing, and amending as necessary, our compensation philosophy and objectives, and reviewing annually and updating our peer group for compensation purposes;</w:t>
      </w:r>
    </w:p>
    <w:p>
      <w:pPr>
        <w:spacing w:after="0" w:line="182" w:lineRule="exact"/>
        <w:rPr>
          <w:rFonts w:ascii="Arial" w:cs="Arial" w:eastAsia="Arial" w:hAnsi="Arial"/>
          <w:sz w:val="20"/>
          <w:szCs w:val="20"/>
          <w:color w:val="auto"/>
        </w:rPr>
      </w:pPr>
    </w:p>
    <w:p>
      <w:pPr>
        <w:ind w:left="1320" w:right="360" w:hanging="435"/>
        <w:spacing w:after="0" w:line="257" w:lineRule="auto"/>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reviewing and discussing our compensation policies and programs and assessing whether such policies and programs are reasonably likely to have a material adverse effect on the company;</w:t>
      </w:r>
    </w:p>
    <w:p>
      <w:pPr>
        <w:spacing w:after="0" w:line="182" w:lineRule="exact"/>
        <w:rPr>
          <w:rFonts w:ascii="Arial" w:cs="Arial" w:eastAsia="Arial" w:hAnsi="Arial"/>
          <w:sz w:val="20"/>
          <w:szCs w:val="20"/>
          <w:color w:val="auto"/>
        </w:rPr>
      </w:pPr>
    </w:p>
    <w:p>
      <w:pPr>
        <w:ind w:left="1320" w:right="400" w:hanging="435"/>
        <w:spacing w:after="0" w:line="257" w:lineRule="auto"/>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reviewing and discussing annually with management our “Compensation Discussion and Analysis,” which is included beginning on page 49 of this proxy statement;</w:t>
      </w:r>
    </w:p>
    <w:p>
      <w:pPr>
        <w:spacing w:after="0" w:line="182" w:lineRule="exact"/>
        <w:rPr>
          <w:rFonts w:ascii="Arial" w:cs="Arial" w:eastAsia="Arial" w:hAnsi="Arial"/>
          <w:sz w:val="20"/>
          <w:szCs w:val="20"/>
          <w:color w:val="auto"/>
        </w:rPr>
      </w:pPr>
    </w:p>
    <w:p>
      <w:pPr>
        <w:ind w:left="1320" w:right="340" w:hanging="435"/>
        <w:spacing w:after="0" w:line="257" w:lineRule="auto"/>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preparing the annual PC&amp;C committee report required by SEC rules, which is included immediately following the “Compensation Discussion and Analysis” section appearing below;</w:t>
      </w:r>
    </w:p>
    <w:p>
      <w:pPr>
        <w:spacing w:after="0" w:line="182" w:lineRule="exact"/>
        <w:rPr>
          <w:rFonts w:ascii="Arial" w:cs="Arial" w:eastAsia="Arial" w:hAnsi="Arial"/>
          <w:sz w:val="20"/>
          <w:szCs w:val="20"/>
          <w:color w:val="auto"/>
        </w:rPr>
      </w:pPr>
    </w:p>
    <w:p>
      <w:pPr>
        <w:ind w:left="1320" w:right="220" w:hanging="435"/>
        <w:spacing w:after="0" w:line="257" w:lineRule="auto"/>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reviewing the results of any say-on-pay votes and considering whether to make or recommend adjustments to the executive compensation policies as a result of such votes;</w:t>
      </w:r>
    </w:p>
    <w:p>
      <w:pPr>
        <w:spacing w:after="0" w:line="182" w:lineRule="exact"/>
        <w:rPr>
          <w:rFonts w:ascii="Arial" w:cs="Arial" w:eastAsia="Arial" w:hAnsi="Arial"/>
          <w:sz w:val="20"/>
          <w:szCs w:val="20"/>
          <w:color w:val="auto"/>
        </w:rPr>
      </w:pPr>
    </w:p>
    <w:p>
      <w:pPr>
        <w:ind w:left="1320" w:hanging="435"/>
        <w:spacing w:after="0"/>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overseeing engagement with stockholders and proxy advisory firms on executive compensation matters; and</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performing an annual evaluation of the committee’s performance.</w:t>
      </w:r>
    </w:p>
    <w:p>
      <w:pPr>
        <w:spacing w:after="0" w:line="202" w:lineRule="exact"/>
        <w:rPr>
          <w:sz w:val="20"/>
          <w:szCs w:val="20"/>
          <w:color w:val="auto"/>
        </w:rPr>
      </w:pPr>
    </w:p>
    <w:p>
      <w:pPr>
        <w:ind w:left="120" w:right="920" w:firstLine="771"/>
        <w:spacing w:after="0" w:line="257" w:lineRule="auto"/>
        <w:rPr>
          <w:sz w:val="20"/>
          <w:szCs w:val="20"/>
          <w:color w:val="auto"/>
        </w:rPr>
      </w:pPr>
      <w:r>
        <w:rPr>
          <w:rFonts w:ascii="Arial" w:cs="Arial" w:eastAsia="Arial" w:hAnsi="Arial"/>
          <w:sz w:val="20"/>
          <w:szCs w:val="20"/>
          <w:color w:val="auto"/>
        </w:rPr>
        <w:t>The processes and procedures followed by our PC&amp;C committee in considering and determining executive compensation are described below under the heading “Compensation Discussion and Analysis.”</w:t>
      </w:r>
    </w:p>
    <w:p>
      <w:pPr>
        <w:spacing w:after="0" w:line="155" w:lineRule="exact"/>
        <w:rPr>
          <w:sz w:val="20"/>
          <w:szCs w:val="20"/>
          <w:color w:val="auto"/>
        </w:rPr>
      </w:pPr>
    </w:p>
    <w:p>
      <w:pPr>
        <w:ind w:left="120" w:right="40" w:firstLine="771"/>
        <w:spacing w:after="0" w:line="237" w:lineRule="auto"/>
        <w:rPr>
          <w:sz w:val="20"/>
          <w:szCs w:val="20"/>
          <w:color w:val="auto"/>
        </w:rPr>
      </w:pPr>
      <w:r>
        <w:rPr>
          <w:rFonts w:ascii="Arial" w:cs="Arial" w:eastAsia="Arial" w:hAnsi="Arial"/>
          <w:sz w:val="20"/>
          <w:szCs w:val="20"/>
          <w:color w:val="auto"/>
        </w:rPr>
        <w:t>The current members of our PC&amp;C committee are Ms. Reitan (Chair) and Drs. Brandicourt and Sigal. In March 2023, Ms. Schulman resigned as chair of the committee, at which time Ms. Reitan was appointed chair. We believe that each member of our PC&amp;C committee is an independent director within the meaning of the director independence standards of the Nasdaq Marketplace Rules,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240"/>
        <w:spacing w:after="0" w:line="257" w:lineRule="auto"/>
        <w:rPr>
          <w:sz w:val="20"/>
          <w:szCs w:val="20"/>
          <w:color w:val="auto"/>
        </w:rPr>
      </w:pPr>
      <w:r>
        <w:rPr>
          <w:rFonts w:ascii="Arial" w:cs="Arial" w:eastAsia="Arial" w:hAnsi="Arial"/>
          <w:sz w:val="20"/>
          <w:szCs w:val="20"/>
          <w:color w:val="auto"/>
        </w:rPr>
        <w:t>non-employee director as defined in Rule 16b-3 of the Exchange Act, and an outside director pursuant to Section 162(m) of the Internal Revenue Code of 1986, as amended, also referred to as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121285</wp:posOffset>
            </wp:positionV>
            <wp:extent cx="7011670" cy="522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11670" cy="5226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Our PC&amp;C committee met five times during 2023, either in person or by teleconference.</w:t>
      </w:r>
    </w:p>
    <w:p>
      <w:pPr>
        <w:spacing w:after="0" w:line="200" w:lineRule="exact"/>
        <w:rPr>
          <w:sz w:val="20"/>
          <w:szCs w:val="20"/>
          <w:color w:val="auto"/>
        </w:rPr>
      </w:pPr>
    </w:p>
    <w:p>
      <w:pPr>
        <w:spacing w:after="0" w:line="299" w:lineRule="exact"/>
        <w:rPr>
          <w:sz w:val="20"/>
          <w:szCs w:val="20"/>
          <w:color w:val="auto"/>
        </w:rPr>
      </w:pPr>
    </w:p>
    <w:p>
      <w:pPr>
        <w:ind w:left="880"/>
        <w:spacing w:after="0"/>
        <w:rPr>
          <w:sz w:val="20"/>
          <w:szCs w:val="20"/>
          <w:color w:val="auto"/>
        </w:rPr>
      </w:pPr>
      <w:r>
        <w:rPr>
          <w:rFonts w:ascii="Arial" w:cs="Arial" w:eastAsia="Arial" w:hAnsi="Arial"/>
          <w:sz w:val="20"/>
          <w:szCs w:val="20"/>
          <w:i w:val="1"/>
          <w:iCs w:val="1"/>
          <w:color w:val="1D3060"/>
        </w:rPr>
        <w:t>PC&amp;C Committee Interlocks and Insider Participation</w:t>
      </w:r>
    </w:p>
    <w:p>
      <w:pPr>
        <w:spacing w:after="0" w:line="202" w:lineRule="exact"/>
        <w:rPr>
          <w:sz w:val="20"/>
          <w:szCs w:val="20"/>
          <w:color w:val="auto"/>
        </w:rPr>
      </w:pPr>
    </w:p>
    <w:p>
      <w:pPr>
        <w:ind w:left="120" w:right="60" w:firstLine="771"/>
        <w:spacing w:after="0" w:line="257" w:lineRule="auto"/>
        <w:rPr>
          <w:sz w:val="20"/>
          <w:szCs w:val="20"/>
          <w:color w:val="auto"/>
        </w:rPr>
      </w:pPr>
      <w:r>
        <w:rPr>
          <w:rFonts w:ascii="Arial" w:cs="Arial" w:eastAsia="Arial" w:hAnsi="Arial"/>
          <w:sz w:val="20"/>
          <w:szCs w:val="20"/>
          <w:color w:val="auto"/>
        </w:rPr>
        <w:t>During fiscal year 2023, none of the members of our PC&amp;C committee was a current or former officer or employee of Alnylam and none had any related person transaction involving Alnylam.</w:t>
      </w:r>
    </w:p>
    <w:p>
      <w:pPr>
        <w:spacing w:after="0" w:line="155" w:lineRule="exact"/>
        <w:rPr>
          <w:sz w:val="20"/>
          <w:szCs w:val="20"/>
          <w:color w:val="auto"/>
        </w:rPr>
      </w:pPr>
    </w:p>
    <w:p>
      <w:pPr>
        <w:ind w:left="120" w:right="20" w:firstLine="771"/>
        <w:spacing w:after="0" w:line="233" w:lineRule="auto"/>
        <w:rPr>
          <w:sz w:val="20"/>
          <w:szCs w:val="20"/>
          <w:color w:val="auto"/>
        </w:rPr>
      </w:pPr>
      <w:r>
        <w:rPr>
          <w:rFonts w:ascii="Arial" w:cs="Arial" w:eastAsia="Arial" w:hAnsi="Arial"/>
          <w:sz w:val="20"/>
          <w:szCs w:val="20"/>
          <w:color w:val="auto"/>
        </w:rPr>
        <w:t>During fiscal year 2023, no executive officer of our company served as: (i) a member of the PC&amp;C committee (or other committee of the board of directors performing equivalent functions or, in the absence of any such committee, the entire board of directors) of another entity, one of whose executive officers served on our PC&amp;C committee; (ii) a director of another entity, one of whose executive officers served on our PC&amp;C committee; or (iii) a member of the PC&amp;C committee (or other committee of the board of directors performing equivalent functions or, in the absence of any such committee, the entire board of directors) of another entity, one of whose executive officers served as a director of our company.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0"/>
          <w:szCs w:val="20"/>
          <w:i w:val="1"/>
          <w:iCs w:val="1"/>
          <w:color w:val="1D3060"/>
        </w:rPr>
        <w:t>Risk Considerations in Executive Compensation</w:t>
      </w:r>
    </w:p>
    <w:p>
      <w:pPr>
        <w:spacing w:after="0" w:line="202" w:lineRule="exact"/>
        <w:rPr>
          <w:sz w:val="20"/>
          <w:szCs w:val="20"/>
          <w:color w:val="auto"/>
        </w:rPr>
      </w:pPr>
    </w:p>
    <w:p>
      <w:pPr>
        <w:ind w:left="120" w:right="40" w:firstLine="771"/>
        <w:spacing w:after="0" w:line="232" w:lineRule="auto"/>
        <w:rPr>
          <w:sz w:val="20"/>
          <w:szCs w:val="20"/>
          <w:color w:val="auto"/>
        </w:rPr>
      </w:pPr>
      <w:r>
        <w:rPr>
          <w:rFonts w:ascii="Arial" w:cs="Arial" w:eastAsia="Arial" w:hAnsi="Arial"/>
          <w:sz w:val="20"/>
          <w:szCs w:val="20"/>
          <w:color w:val="auto"/>
        </w:rPr>
        <w:t>Our PC&amp;C committee has discussed the concept of risk as it relates to our executive compensation program and, after considering an assessment prepared by its compensation consultant, the PC&amp;C committee does not believe our executive compensation program encourages excessive or inappropriate risk taking. As described more fully below in “Compensation Discussion and Analysis,” we structure our pay to consist of both fixed and variable compensation to motivate our executives to produce superior short- and long-term results that are in the best interests of our company and stockholders in order to attain our ultimate objective of increasing stockholder value. We have established, and our PC&amp;C committee endorses, controls to address and mitigate compensation-related risk.</w:t>
      </w:r>
    </w:p>
    <w:p>
      <w:pPr>
        <w:spacing w:after="0" w:line="172" w:lineRule="exact"/>
        <w:rPr>
          <w:sz w:val="20"/>
          <w:szCs w:val="20"/>
          <w:color w:val="auto"/>
        </w:rPr>
      </w:pPr>
    </w:p>
    <w:p>
      <w:pPr>
        <w:ind w:left="120" w:right="20" w:firstLine="771"/>
        <w:spacing w:after="0" w:line="233" w:lineRule="auto"/>
        <w:rPr>
          <w:sz w:val="20"/>
          <w:szCs w:val="20"/>
          <w:color w:val="auto"/>
        </w:rPr>
      </w:pPr>
      <w:r>
        <w:rPr>
          <w:rFonts w:ascii="Arial" w:cs="Arial" w:eastAsia="Arial" w:hAnsi="Arial"/>
          <w:sz w:val="20"/>
          <w:szCs w:val="20"/>
          <w:color w:val="auto"/>
        </w:rPr>
        <w:t>We engaged our independent consultant, Pay Governance, to assist the PC&amp;C committee in its evaluation of our policies and practices to determine if such policies and practices create excessive risk in our compensation programs. In conducting its independent assessment, Pay Governance reviewed all of our incentive compensation and other programs and determined there were no compensation policies or practices that encourage excessive or inappropriate risk-taking. Pay Governance discussed the detailed findings of this review with management in February 2023, and management provided the results of the review to the PC&amp;C committee.</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Nominating and Corporate Governance Committee</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Our nominating and corporate governance committee is responsible for, among other things:</w:t>
      </w:r>
    </w:p>
    <w:p>
      <w:pPr>
        <w:spacing w:after="0" w:line="229" w:lineRule="exact"/>
        <w:rPr>
          <w:sz w:val="20"/>
          <w:szCs w:val="20"/>
          <w:color w:val="auto"/>
        </w:rPr>
      </w:pPr>
    </w:p>
    <w:p>
      <w:pPr>
        <w:ind w:left="1320" w:hanging="435"/>
        <w:spacing w:after="0"/>
        <w:tabs>
          <w:tab w:leader="none" w:pos="13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advising our board on board organization, structure and appropriate size;</w:t>
      </w:r>
    </w:p>
    <w:p>
      <w:pPr>
        <w:spacing w:after="0" w:line="229" w:lineRule="exact"/>
        <w:rPr>
          <w:rFonts w:ascii="Arial" w:cs="Arial" w:eastAsia="Arial" w:hAnsi="Arial"/>
          <w:sz w:val="20"/>
          <w:szCs w:val="20"/>
          <w:color w:val="auto"/>
        </w:rPr>
      </w:pPr>
    </w:p>
    <w:p>
      <w:pPr>
        <w:jc w:val="both"/>
        <w:ind w:left="1320" w:right="180" w:hanging="435"/>
        <w:spacing w:after="0" w:line="284" w:lineRule="auto"/>
        <w:tabs>
          <w:tab w:leader="none" w:pos="13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identifying individuals qualified to become members of our board and evaluating candidates recommended by stockholders for election to our board and stockholder proposals submitted for inclusion in 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320" w:right="760" w:hanging="435"/>
        <w:spacing w:after="0" w:line="257" w:lineRule="auto"/>
        <w:tabs>
          <w:tab w:leader="none" w:pos="13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recommending to our board the persons to be nominated for election as directors and the persons to be appointed to each of our board committees;</w:t>
      </w:r>
    </w:p>
    <w:p>
      <w:pPr>
        <w:spacing w:after="0" w:line="182" w:lineRule="exact"/>
        <w:rPr>
          <w:rFonts w:ascii="Arial" w:cs="Arial" w:eastAsia="Arial" w:hAnsi="Arial"/>
          <w:sz w:val="20"/>
          <w:szCs w:val="20"/>
          <w:color w:val="auto"/>
        </w:rPr>
      </w:pPr>
    </w:p>
    <w:p>
      <w:pPr>
        <w:ind w:left="1320" w:right="520" w:hanging="435"/>
        <w:spacing w:after="0" w:line="257" w:lineRule="auto"/>
        <w:tabs>
          <w:tab w:leader="none" w:pos="13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reviewing the external commitments of our directors and executive officers to evaluate potential conflicts of interest or time commitment concerns;</w:t>
      </w:r>
    </w:p>
    <w:p>
      <w:pPr>
        <w:spacing w:after="0" w:line="182" w:lineRule="exact"/>
        <w:rPr>
          <w:rFonts w:ascii="Arial" w:cs="Arial" w:eastAsia="Arial" w:hAnsi="Arial"/>
          <w:sz w:val="20"/>
          <w:szCs w:val="20"/>
          <w:color w:val="auto"/>
        </w:rPr>
      </w:pPr>
    </w:p>
    <w:p>
      <w:pPr>
        <w:ind w:left="1320" w:right="1340" w:hanging="435"/>
        <w:spacing w:after="0" w:line="257" w:lineRule="auto"/>
        <w:tabs>
          <w:tab w:leader="none" w:pos="13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developing and recommending to our board a set of corporate governance principles and making recommendations to our board regarding corporate governance matters;</w:t>
      </w:r>
    </w:p>
    <w:p>
      <w:pPr>
        <w:spacing w:after="0" w:line="182" w:lineRule="exact"/>
        <w:rPr>
          <w:rFonts w:ascii="Arial" w:cs="Arial" w:eastAsia="Arial" w:hAnsi="Arial"/>
          <w:sz w:val="20"/>
          <w:szCs w:val="20"/>
          <w:color w:val="auto"/>
        </w:rPr>
      </w:pPr>
    </w:p>
    <w:p>
      <w:pPr>
        <w:ind w:left="1320" w:right="1240" w:hanging="435"/>
        <w:spacing w:after="0" w:line="257" w:lineRule="auto"/>
        <w:tabs>
          <w:tab w:leader="none" w:pos="13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developing and recommending to our board, as appropriate, policies and programs with respect to environmental, health, safety, social responsibility and governance matters;</w:t>
      </w:r>
    </w:p>
    <w:p>
      <w:pPr>
        <w:spacing w:after="0" w:line="182" w:lineRule="exact"/>
        <w:rPr>
          <w:rFonts w:ascii="Arial" w:cs="Arial" w:eastAsia="Arial" w:hAnsi="Arial"/>
          <w:sz w:val="20"/>
          <w:szCs w:val="20"/>
          <w:color w:val="auto"/>
        </w:rPr>
      </w:pPr>
    </w:p>
    <w:p>
      <w:pPr>
        <w:ind w:left="1320" w:hanging="435"/>
        <w:spacing w:after="0"/>
        <w:tabs>
          <w:tab w:leader="none" w:pos="13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overseeing the regular evaluation of our board and its committees;</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overseeing management’s implementation of information technology policies;</w:t>
      </w:r>
    </w:p>
    <w:p>
      <w:pPr>
        <w:spacing w:after="0" w:line="229" w:lineRule="exact"/>
        <w:rPr>
          <w:rFonts w:ascii="Arial" w:cs="Arial" w:eastAsia="Arial" w:hAnsi="Arial"/>
          <w:sz w:val="20"/>
          <w:szCs w:val="20"/>
          <w:color w:val="auto"/>
        </w:rPr>
      </w:pPr>
    </w:p>
    <w:p>
      <w:pPr>
        <w:ind w:left="1320" w:right="280" w:hanging="435"/>
        <w:spacing w:after="0" w:line="241" w:lineRule="auto"/>
        <w:tabs>
          <w:tab w:leader="none" w:pos="13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reviewing our significant corporate governance and board succession risks and steps taken to monitor and mitigate such risks, including succession planning for the board and key leadership roles on the board and its committees;</w:t>
      </w:r>
    </w:p>
    <w:p>
      <w:pPr>
        <w:spacing w:after="0" w:line="198" w:lineRule="exact"/>
        <w:rPr>
          <w:rFonts w:ascii="Arial" w:cs="Arial" w:eastAsia="Arial" w:hAnsi="Arial"/>
          <w:sz w:val="20"/>
          <w:szCs w:val="20"/>
          <w:color w:val="auto"/>
        </w:rPr>
      </w:pPr>
    </w:p>
    <w:p>
      <w:pPr>
        <w:ind w:left="1320" w:hanging="435"/>
        <w:spacing w:after="0"/>
        <w:tabs>
          <w:tab w:leader="none" w:pos="13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overseeing the management of operational risk and contingency planning for business continuity;</w:t>
      </w:r>
    </w:p>
    <w:p>
      <w:pPr>
        <w:spacing w:after="0" w:line="229" w:lineRule="exact"/>
        <w:rPr>
          <w:rFonts w:ascii="Arial" w:cs="Arial" w:eastAsia="Arial" w:hAnsi="Arial"/>
          <w:sz w:val="20"/>
          <w:szCs w:val="20"/>
          <w:color w:val="auto"/>
        </w:rPr>
      </w:pPr>
    </w:p>
    <w:p>
      <w:pPr>
        <w:ind w:left="1320" w:right="120" w:hanging="435"/>
        <w:spacing w:after="0" w:line="257" w:lineRule="auto"/>
        <w:tabs>
          <w:tab w:leader="none" w:pos="13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monitoring the risks associated with information systems, including reviewing and discussing with management the programs used to identify, assess, manage and monitor cybersecurity risks; and</w:t>
      </w:r>
    </w:p>
    <w:p>
      <w:pPr>
        <w:spacing w:after="0" w:line="182" w:lineRule="exact"/>
        <w:rPr>
          <w:rFonts w:ascii="Arial" w:cs="Arial" w:eastAsia="Arial" w:hAnsi="Arial"/>
          <w:sz w:val="20"/>
          <w:szCs w:val="20"/>
          <w:color w:val="auto"/>
        </w:rPr>
      </w:pPr>
    </w:p>
    <w:p>
      <w:pPr>
        <w:ind w:left="1320" w:right="340" w:hanging="435"/>
        <w:spacing w:after="0" w:line="257" w:lineRule="auto"/>
        <w:tabs>
          <w:tab w:leader="none" w:pos="13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overseeing management’s implementation of compliance programs with respect to non-financial matters and our quality programs.</w:t>
      </w:r>
    </w:p>
    <w:p>
      <w:pPr>
        <w:spacing w:after="0" w:line="155" w:lineRule="exact"/>
        <w:rPr>
          <w:sz w:val="20"/>
          <w:szCs w:val="20"/>
          <w:color w:val="auto"/>
        </w:rPr>
      </w:pPr>
    </w:p>
    <w:p>
      <w:pPr>
        <w:ind w:left="120" w:right="60" w:firstLine="771"/>
        <w:spacing w:after="0" w:line="227" w:lineRule="auto"/>
        <w:rPr>
          <w:sz w:val="20"/>
          <w:szCs w:val="20"/>
          <w:color w:val="auto"/>
        </w:rPr>
      </w:pPr>
      <w:r>
        <w:rPr>
          <w:rFonts w:ascii="Arial" w:cs="Arial" w:eastAsia="Arial" w:hAnsi="Arial"/>
          <w:sz w:val="19"/>
          <w:szCs w:val="19"/>
          <w:color w:val="auto"/>
        </w:rPr>
        <w:t>In connection with its oversight of management’s non-financial compliance programs, our nominating and corporate governance committee directed our review of and response to the investigation by the U.S. Department of Justice, U.S. Attorney’s Office for the District of Massachusetts into our marketing and promotion of ONPATTRO</w:t>
      </w:r>
      <w:r>
        <w:rPr>
          <w:rFonts w:ascii="Arial" w:cs="Arial" w:eastAsia="Arial" w:hAnsi="Arial"/>
          <w:sz w:val="28"/>
          <w:szCs w:val="28"/>
          <w:color w:val="auto"/>
          <w:vertAlign w:val="superscript"/>
        </w:rPr>
        <w:t>®</w:t>
      </w:r>
      <w:r>
        <w:rPr>
          <w:rFonts w:ascii="Arial" w:cs="Arial" w:eastAsia="Arial" w:hAnsi="Arial"/>
          <w:sz w:val="19"/>
          <w:szCs w:val="19"/>
          <w:color w:val="auto"/>
        </w:rPr>
        <w:t xml:space="preserve"> (patisiran) in the U.S., which was concluded and closed in August 2023, with no action taken. From the beginning of 2023, through the conclusion of the investigation by the Department of Justice in August 2023, our nominating and corporate governance committee held multiple regular and special meetings with independent outside counsel regarding the ongoing investigation.</w:t>
      </w:r>
    </w:p>
    <w:p>
      <w:pPr>
        <w:spacing w:after="0" w:line="174" w:lineRule="exact"/>
        <w:rPr>
          <w:sz w:val="20"/>
          <w:szCs w:val="20"/>
          <w:color w:val="auto"/>
        </w:rPr>
      </w:pPr>
    </w:p>
    <w:p>
      <w:pPr>
        <w:ind w:left="120" w:right="40" w:firstLine="771"/>
        <w:spacing w:after="0" w:line="233" w:lineRule="auto"/>
        <w:rPr>
          <w:sz w:val="20"/>
          <w:szCs w:val="20"/>
          <w:color w:val="auto"/>
        </w:rPr>
      </w:pPr>
      <w:r>
        <w:rPr>
          <w:rFonts w:ascii="Arial" w:cs="Arial" w:eastAsia="Arial" w:hAnsi="Arial"/>
          <w:sz w:val="20"/>
          <w:szCs w:val="20"/>
          <w:color w:val="auto"/>
        </w:rPr>
        <w:t>As noted above, the nominating and corporate governance committee facilitates a regular board self-evaluation to determine whether our board of directors and its committees are functioning effectively. The nominating and corporate governance committee determines the nature of the evaluation, supervises the conduct of the evaluation, and prepares an assessment of our board performance, to be discussed with the full board of directors. The evaluation is aligned to board best practices and focuses on four key areas: board structure and composition; board process and focus; committee structure and performance; and culture and overall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240" w:firstLine="771"/>
        <w:spacing w:after="0" w:line="257" w:lineRule="auto"/>
        <w:rPr>
          <w:sz w:val="20"/>
          <w:szCs w:val="20"/>
          <w:color w:val="auto"/>
        </w:rPr>
      </w:pPr>
      <w:r>
        <w:rPr>
          <w:rFonts w:ascii="Arial" w:cs="Arial" w:eastAsia="Arial" w:hAnsi="Arial"/>
          <w:sz w:val="20"/>
          <w:szCs w:val="20"/>
          <w:color w:val="auto"/>
        </w:rPr>
        <w:t>The processes and procedures followed by our nominating and corporate governance committee in identifying and evaluating director candidates are described below under the heading “Director Nomination Process.”</w:t>
      </w:r>
    </w:p>
    <w:p>
      <w:pPr>
        <w:spacing w:after="0" w:line="155" w:lineRule="exact"/>
        <w:rPr>
          <w:sz w:val="20"/>
          <w:szCs w:val="20"/>
          <w:color w:val="auto"/>
        </w:rPr>
      </w:pPr>
    </w:p>
    <w:p>
      <w:pPr>
        <w:ind w:left="120" w:right="40" w:firstLine="771"/>
        <w:spacing w:after="0" w:line="237" w:lineRule="auto"/>
        <w:rPr>
          <w:sz w:val="20"/>
          <w:szCs w:val="20"/>
          <w:color w:val="auto"/>
        </w:rPr>
      </w:pPr>
      <w:r>
        <w:rPr>
          <w:rFonts w:ascii="Arial" w:cs="Arial" w:eastAsia="Arial" w:hAnsi="Arial"/>
          <w:sz w:val="20"/>
          <w:szCs w:val="20"/>
          <w:color w:val="auto"/>
        </w:rPr>
        <w:t>The current members of our nominating and corporate governance committee are Mr. Pyott (Chair), Drs. Ausiello, Bertozzi and Hamburg, and Ms. Schulman. We believe that each member of our nominating and corporate governance committee satisfies the requirements for membership, including independence, as established under the Nasdaq Marketplace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131445</wp:posOffset>
            </wp:positionV>
            <wp:extent cx="7011670" cy="522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11670" cy="5226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Our nominating and corporate governance committee met five times during 2023, either in person or by teleconference.</w:t>
      </w:r>
    </w:p>
    <w:p>
      <w:pPr>
        <w:spacing w:after="0" w:line="200" w:lineRule="exact"/>
        <w:rPr>
          <w:sz w:val="20"/>
          <w:szCs w:val="20"/>
          <w:color w:val="auto"/>
        </w:rPr>
      </w:pPr>
    </w:p>
    <w:p>
      <w:pPr>
        <w:spacing w:after="0" w:line="299"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Science and Technology Committee</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Our science and technology committee is responsible for, among other things:</w:t>
      </w:r>
    </w:p>
    <w:p>
      <w:pPr>
        <w:spacing w:after="0" w:line="229" w:lineRule="exact"/>
        <w:rPr>
          <w:sz w:val="20"/>
          <w:szCs w:val="20"/>
          <w:color w:val="auto"/>
        </w:rPr>
      </w:pPr>
    </w:p>
    <w:p>
      <w:pPr>
        <w:ind w:left="1320" w:hanging="435"/>
        <w:spacing w:after="0"/>
        <w:tabs>
          <w:tab w:leader="none" w:pos="13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overseeing our scientific advisory board;</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reviewing our overall scientific and research and development strategy;</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reviewing our research and development strategy and programs; and</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reviewing our regulatory and quality programs.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current members of our science and technology committee are Drs. Sharp (Chair), Ausiello, Bertozzi and Sigal.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150495</wp:posOffset>
            </wp:positionV>
            <wp:extent cx="7011670" cy="522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11670" cy="5226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Our science and technology committee met five times during 2023, by teleconference.</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Director Nomination Process</w:t>
      </w:r>
    </w:p>
    <w:p>
      <w:pPr>
        <w:spacing w:after="0" w:line="204" w:lineRule="exact"/>
        <w:rPr>
          <w:sz w:val="20"/>
          <w:szCs w:val="20"/>
          <w:color w:val="auto"/>
        </w:rPr>
      </w:pPr>
    </w:p>
    <w:p>
      <w:pPr>
        <w:ind w:left="120" w:right="320" w:firstLine="771"/>
        <w:spacing w:after="0" w:line="241" w:lineRule="auto"/>
        <w:rPr>
          <w:sz w:val="20"/>
          <w:szCs w:val="20"/>
          <w:color w:val="auto"/>
        </w:rPr>
      </w:pPr>
      <w:r>
        <w:rPr>
          <w:rFonts w:ascii="Arial" w:cs="Arial" w:eastAsia="Arial" w:hAnsi="Arial"/>
          <w:sz w:val="20"/>
          <w:szCs w:val="20"/>
          <w:color w:val="auto"/>
        </w:rPr>
        <w:t>Our nominating and corporate governance committee is responsible for identifying individuals qualified to become directors, consistent with criteria approved by our board, and recommending the persons to be nominated for election as directors.</w:t>
      </w:r>
    </w:p>
    <w:p>
      <w:pPr>
        <w:spacing w:after="0" w:line="171" w:lineRule="exact"/>
        <w:rPr>
          <w:sz w:val="20"/>
          <w:szCs w:val="20"/>
          <w:color w:val="auto"/>
        </w:rPr>
      </w:pPr>
    </w:p>
    <w:p>
      <w:pPr>
        <w:ind w:left="120" w:right="40" w:firstLine="771"/>
        <w:spacing w:after="0" w:line="234" w:lineRule="auto"/>
        <w:rPr>
          <w:sz w:val="20"/>
          <w:szCs w:val="20"/>
          <w:color w:val="auto"/>
        </w:rPr>
      </w:pPr>
      <w:r>
        <w:rPr>
          <w:rFonts w:ascii="Arial" w:cs="Arial" w:eastAsia="Arial" w:hAnsi="Arial"/>
          <w:sz w:val="20"/>
          <w:szCs w:val="20"/>
          <w:color w:val="auto"/>
        </w:rPr>
        <w:t>The process followed by our nominating and corporate governance committee to identify and evaluate director candidates includes requests to board members and others for recommendations, engagement of third-party recruiting companies focused on identifying top-tier director candidates, meetings from time to time to evaluate biographical information and background material relating to potential candidates, and interviews of selected candidates by members of the committee and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Criteria and Diversity</w:t>
      </w:r>
    </w:p>
    <w:p>
      <w:pPr>
        <w:spacing w:after="0" w:line="202" w:lineRule="exact"/>
        <w:rPr>
          <w:sz w:val="20"/>
          <w:szCs w:val="20"/>
          <w:color w:val="auto"/>
        </w:rPr>
      </w:pPr>
    </w:p>
    <w:p>
      <w:pPr>
        <w:ind w:left="120" w:right="180" w:firstLine="771"/>
        <w:spacing w:after="0" w:line="234" w:lineRule="auto"/>
        <w:rPr>
          <w:sz w:val="20"/>
          <w:szCs w:val="20"/>
          <w:color w:val="auto"/>
        </w:rPr>
      </w:pPr>
      <w:r>
        <w:rPr>
          <w:rFonts w:ascii="Arial" w:cs="Arial" w:eastAsia="Arial" w:hAnsi="Arial"/>
          <w:sz w:val="20"/>
          <w:szCs w:val="20"/>
          <w:color w:val="auto"/>
        </w:rPr>
        <w:t>Our corporate governance guidelines include a commitment to diversity, and specify that diversity on our board of directors should be considered by the nominating and corporate governance committee in the director identification and nomination process. In considering whether to recommend any particular candidate for inclusion in our board’s slate of recommended director nominees, our nominating and corporate governance committee will apply the following criteria that it believes must be met by all directors:</w:t>
      </w:r>
    </w:p>
    <w:p>
      <w:pPr>
        <w:spacing w:after="0" w:line="202" w:lineRule="exact"/>
        <w:rPr>
          <w:sz w:val="20"/>
          <w:szCs w:val="20"/>
          <w:color w:val="auto"/>
        </w:rPr>
      </w:pPr>
    </w:p>
    <w:p>
      <w:pPr>
        <w:ind w:left="1320" w:hanging="435"/>
        <w:spacing w:after="0"/>
        <w:tabs>
          <w:tab w:leader="none" w:pos="1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reputation for integrity, honesty and adherence to high ethical standards;</w:t>
      </w:r>
    </w:p>
    <w:p>
      <w:pPr>
        <w:spacing w:after="0" w:line="229" w:lineRule="exact"/>
        <w:rPr>
          <w:rFonts w:ascii="Arial" w:cs="Arial" w:eastAsia="Arial" w:hAnsi="Arial"/>
          <w:sz w:val="20"/>
          <w:szCs w:val="20"/>
          <w:color w:val="auto"/>
        </w:rPr>
      </w:pPr>
    </w:p>
    <w:p>
      <w:pPr>
        <w:ind w:left="1320" w:right="40" w:hanging="435"/>
        <w:spacing w:after="0" w:line="252" w:lineRule="auto"/>
        <w:tabs>
          <w:tab w:leader="none" w:pos="13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demonstration of business acumen, experience and the ability to appreciate the operational challenges and complexities faced by public biopharmaceutical companies of a size and operational scope similar to our company and to exercise sound judgment in matters that relate to the current and long-term objectives of our company and a willingness and ability to contribute positively to the decision-making processes of our company;</w:t>
      </w:r>
    </w:p>
    <w:p>
      <w:pPr>
        <w:spacing w:after="0" w:line="189" w:lineRule="exact"/>
        <w:rPr>
          <w:rFonts w:ascii="Arial" w:cs="Arial" w:eastAsia="Arial" w:hAnsi="Arial"/>
          <w:sz w:val="19"/>
          <w:szCs w:val="19"/>
          <w:color w:val="auto"/>
        </w:rPr>
      </w:pPr>
    </w:p>
    <w:p>
      <w:pPr>
        <w:ind w:left="1320" w:right="200" w:hanging="435"/>
        <w:spacing w:after="0" w:line="257" w:lineRule="auto"/>
        <w:tabs>
          <w:tab w:leader="none" w:pos="1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commitment to understand our company and the industry and to regularly attend and participate in meetings of our board of directors and its committees;</w:t>
      </w:r>
    </w:p>
    <w:p>
      <w:pPr>
        <w:spacing w:after="0" w:line="182" w:lineRule="exact"/>
        <w:rPr>
          <w:rFonts w:ascii="Arial" w:cs="Arial" w:eastAsia="Arial" w:hAnsi="Arial"/>
          <w:sz w:val="20"/>
          <w:szCs w:val="20"/>
          <w:color w:val="auto"/>
        </w:rPr>
      </w:pPr>
    </w:p>
    <w:p>
      <w:pPr>
        <w:ind w:left="1320" w:right="100" w:hanging="435"/>
        <w:spacing w:after="0" w:line="241" w:lineRule="auto"/>
        <w:tabs>
          <w:tab w:leader="none" w:pos="1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interest in and ability to understand the sometimes conflicting interests of the various constituencies of our company, which include stockholders, employees, customers, governmental bodies and the general public, and to act in the interests of all stockholders;</w:t>
      </w:r>
    </w:p>
    <w:p>
      <w:pPr>
        <w:spacing w:after="0" w:line="198" w:lineRule="exact"/>
        <w:rPr>
          <w:rFonts w:ascii="Arial" w:cs="Arial" w:eastAsia="Arial" w:hAnsi="Arial"/>
          <w:sz w:val="20"/>
          <w:szCs w:val="20"/>
          <w:color w:val="auto"/>
        </w:rPr>
      </w:pPr>
    </w:p>
    <w:p>
      <w:pPr>
        <w:ind w:left="1320" w:right="40" w:hanging="435"/>
        <w:spacing w:after="0" w:line="241" w:lineRule="auto"/>
        <w:tabs>
          <w:tab w:leader="none" w:pos="1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 actual or apparent conflict of interest (as determined by the nominating and corporate governance committee or the board) that would impair the director’s ability to represent the interests of all of our company’s stockholders and to fulfill the responsibilities of a director; and</w:t>
      </w:r>
    </w:p>
    <w:p>
      <w:pPr>
        <w:spacing w:after="0" w:line="198" w:lineRule="exact"/>
        <w:rPr>
          <w:rFonts w:ascii="Arial" w:cs="Arial" w:eastAsia="Arial" w:hAnsi="Arial"/>
          <w:sz w:val="20"/>
          <w:szCs w:val="20"/>
          <w:color w:val="auto"/>
        </w:rPr>
      </w:pPr>
    </w:p>
    <w:p>
      <w:pPr>
        <w:ind w:left="1320" w:hanging="435"/>
        <w:spacing w:after="0"/>
        <w:tabs>
          <w:tab w:leader="none" w:pos="1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ability to serve for at least five years before reaching the age of 75.</w:t>
      </w:r>
    </w:p>
    <w:p>
      <w:pPr>
        <w:spacing w:after="0" w:line="202" w:lineRule="exact"/>
        <w:rPr>
          <w:sz w:val="20"/>
          <w:szCs w:val="20"/>
          <w:color w:val="auto"/>
        </w:rPr>
      </w:pPr>
    </w:p>
    <w:p>
      <w:pPr>
        <w:ind w:left="120" w:right="80" w:firstLine="771"/>
        <w:spacing w:after="0" w:line="229" w:lineRule="auto"/>
        <w:rPr>
          <w:sz w:val="20"/>
          <w:szCs w:val="20"/>
          <w:color w:val="auto"/>
        </w:rPr>
      </w:pPr>
      <w:r>
        <w:rPr>
          <w:rFonts w:ascii="Arial" w:cs="Arial" w:eastAsia="Arial" w:hAnsi="Arial"/>
          <w:sz w:val="20"/>
          <w:szCs w:val="20"/>
          <w:color w:val="auto"/>
        </w:rPr>
        <w:t>While our nominating and corporate governance committee does not have a formal policy with respect to diversity, the nominating and corporate governance committee is committed to recruitment protocols to actively seek out highly qualified diverse candidates (including women and minority candidates) to include in the pool from which board nominees are chosen, and any search firm will affirmatively be instructed to seek to include diverse candidates. Our board and nominating and corporate governance committee believe that it is essential that our board members represent diverse viewpoints with broad experience in areas important to the operation of our company such as business, science, medicine, and finance and accounting. The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allow our board to promote our strategic objectives and fulfill its responsibilities to our stockholders. In this context, the nominating and corporate governance committee, in addition to the qualifications set forth above, also considers a variety of attributes in selecting nominees to our board, such as:</w:t>
      </w:r>
    </w:p>
    <w:p>
      <w:pPr>
        <w:spacing w:after="0" w:line="202" w:lineRule="exact"/>
        <w:rPr>
          <w:sz w:val="20"/>
          <w:szCs w:val="20"/>
          <w:color w:val="auto"/>
        </w:rPr>
      </w:pPr>
    </w:p>
    <w:p>
      <w:pPr>
        <w:ind w:left="1320" w:right="360" w:hanging="435"/>
        <w:spacing w:after="0" w:line="257" w:lineRule="auto"/>
        <w:tabs>
          <w:tab w:leader="none" w:pos="13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 understanding of, and experience in, the biotechnology and pharmaceutical industries, and the regulatory landscape in which such companies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320" w:right="320" w:hanging="435"/>
        <w:spacing w:after="0" w:line="257" w:lineRule="auto"/>
        <w:tabs>
          <w:tab w:leader="none" w:pos="13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 understanding of, and experience in, accounting oversight and governance, finance, sales and marketing, and complex business transactions;</w:t>
      </w:r>
    </w:p>
    <w:p>
      <w:pPr>
        <w:spacing w:after="0" w:line="182" w:lineRule="exact"/>
        <w:rPr>
          <w:rFonts w:ascii="Arial" w:cs="Arial" w:eastAsia="Arial" w:hAnsi="Arial"/>
          <w:sz w:val="20"/>
          <w:szCs w:val="20"/>
          <w:color w:val="auto"/>
        </w:rPr>
      </w:pPr>
    </w:p>
    <w:p>
      <w:pPr>
        <w:ind w:left="1320" w:hanging="435"/>
        <w:spacing w:after="0"/>
        <w:tabs>
          <w:tab w:leader="none" w:pos="13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leadership experience with public companies or other significant organizations;</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international experience; and</w:t>
      </w:r>
    </w:p>
    <w:p>
      <w:pPr>
        <w:spacing w:after="0" w:line="229" w:lineRule="exact"/>
        <w:rPr>
          <w:rFonts w:ascii="Arial" w:cs="Arial" w:eastAsia="Arial" w:hAnsi="Arial"/>
          <w:sz w:val="20"/>
          <w:szCs w:val="20"/>
          <w:color w:val="auto"/>
        </w:rPr>
      </w:pPr>
    </w:p>
    <w:p>
      <w:pPr>
        <w:ind w:left="1320" w:right="820" w:hanging="435"/>
        <w:spacing w:after="0" w:line="257" w:lineRule="auto"/>
        <w:tabs>
          <w:tab w:leader="none" w:pos="13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diversity of age, gender, race and national origin, education, professional experience and differences in viewpoints and skills.</w:t>
      </w:r>
    </w:p>
    <w:p>
      <w:pPr>
        <w:spacing w:after="0" w:line="155" w:lineRule="exact"/>
        <w:rPr>
          <w:sz w:val="20"/>
          <w:szCs w:val="20"/>
          <w:color w:val="auto"/>
        </w:rPr>
      </w:pPr>
    </w:p>
    <w:p>
      <w:pPr>
        <w:ind w:left="120" w:right="620" w:firstLine="771"/>
        <w:spacing w:after="0" w:line="257" w:lineRule="auto"/>
        <w:rPr>
          <w:sz w:val="20"/>
          <w:szCs w:val="20"/>
          <w:color w:val="auto"/>
        </w:rPr>
      </w:pPr>
      <w:r>
        <w:rPr>
          <w:rFonts w:ascii="Arial" w:cs="Arial" w:eastAsia="Arial" w:hAnsi="Arial"/>
          <w:sz w:val="20"/>
          <w:szCs w:val="20"/>
          <w:color w:val="auto"/>
        </w:rPr>
        <w:t>These factors and others are considered useful by our board of directors and are reviewed in the context of an assessment of the perceived needs of our board at a particular point in time.</w:t>
      </w:r>
    </w:p>
    <w:p>
      <w:pPr>
        <w:spacing w:after="0" w:line="155" w:lineRule="exact"/>
        <w:rPr>
          <w:sz w:val="20"/>
          <w:szCs w:val="20"/>
          <w:color w:val="auto"/>
        </w:rPr>
      </w:pPr>
    </w:p>
    <w:p>
      <w:pPr>
        <w:ind w:left="120" w:right="40" w:firstLine="771"/>
        <w:spacing w:after="0" w:line="232" w:lineRule="auto"/>
        <w:rPr>
          <w:sz w:val="20"/>
          <w:szCs w:val="20"/>
          <w:color w:val="auto"/>
        </w:rPr>
      </w:pPr>
      <w:r>
        <w:rPr>
          <w:rFonts w:ascii="Arial" w:cs="Arial" w:eastAsia="Arial" w:hAnsi="Arial"/>
          <w:sz w:val="20"/>
          <w:szCs w:val="20"/>
          <w:color w:val="auto"/>
        </w:rPr>
        <w:t>The director nominee biographies appearing above under the heading “Information Concerning Director Nominees – Election of Class II Directors (Proposal 1)” indicate each nominee’s experience, qualifications, attributes and skills that led our nominating and corporate governance committee and board to conclude that each nominee should continue to serve as a member of our board. Our nominating and corporate governance committee and board believe that each of the nominees has had substantial achievement in his professional and personal pursuits, and possesses the background, talents and experience that our board desires and that will contribute to the best interests of our company and to long-term stockholder value.</w:t>
      </w:r>
    </w:p>
    <w:p>
      <w:pPr>
        <w:spacing w:after="0" w:line="172" w:lineRule="exact"/>
        <w:rPr>
          <w:sz w:val="20"/>
          <w:szCs w:val="20"/>
          <w:color w:val="auto"/>
        </w:rPr>
      </w:pPr>
    </w:p>
    <w:p>
      <w:pPr>
        <w:ind w:left="120" w:right="20" w:firstLine="771"/>
        <w:spacing w:after="0" w:line="232" w:lineRule="auto"/>
        <w:rPr>
          <w:sz w:val="20"/>
          <w:szCs w:val="20"/>
          <w:color w:val="auto"/>
        </w:rPr>
      </w:pPr>
      <w:r>
        <w:rPr>
          <w:rFonts w:ascii="Arial" w:cs="Arial" w:eastAsia="Arial" w:hAnsi="Arial"/>
          <w:sz w:val="20"/>
          <w:szCs w:val="20"/>
          <w:color w:val="auto"/>
        </w:rPr>
        <w:t>The table below provides information regarding the members of our board, including certain types of knowledge, skills, experiences and attributes possessed by one or more of our directors which our board believes are relevant to our business or industry. The table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029450" cy="2297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2945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tables below highlight the composition of our continuing directors and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7029450" cy="1431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2945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i w:val="1"/>
          <w:iCs w:val="1"/>
          <w:color w:val="1D3060"/>
        </w:rPr>
        <w:t>Board Diversity Matrix as of March 31, 2024</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338"/>
        </w:trPr>
        <w:tc>
          <w:tcPr>
            <w:tcW w:w="6160" w:type="dxa"/>
            <w:vAlign w:val="bottom"/>
            <w:shd w:val="clear" w:color="auto" w:fill="1D3060"/>
          </w:tcPr>
          <w:p>
            <w:pPr>
              <w:spacing w:after="0"/>
              <w:rPr>
                <w:sz w:val="20"/>
                <w:szCs w:val="20"/>
                <w:color w:val="auto"/>
              </w:rPr>
            </w:pPr>
            <w:r>
              <w:rPr>
                <w:rFonts w:ascii="Arial" w:cs="Arial" w:eastAsia="Arial" w:hAnsi="Arial"/>
                <w:sz w:val="18"/>
                <w:szCs w:val="18"/>
                <w:b w:val="1"/>
                <w:bCs w:val="1"/>
                <w:color w:val="FFFFFF"/>
              </w:rPr>
              <w:t> Board Size:</w:t>
            </w:r>
          </w:p>
        </w:tc>
        <w:tc>
          <w:tcPr>
            <w:tcW w:w="720" w:type="dxa"/>
            <w:vAlign w:val="bottom"/>
            <w:shd w:val="clear" w:color="auto" w:fill="1D3060"/>
          </w:tcPr>
          <w:p>
            <w:pPr>
              <w:spacing w:after="0"/>
              <w:rPr>
                <w:sz w:val="24"/>
                <w:szCs w:val="24"/>
                <w:color w:val="auto"/>
              </w:rPr>
            </w:pPr>
          </w:p>
        </w:tc>
        <w:tc>
          <w:tcPr>
            <w:tcW w:w="880" w:type="dxa"/>
            <w:vAlign w:val="bottom"/>
            <w:shd w:val="clear" w:color="auto" w:fill="1D3060"/>
          </w:tcPr>
          <w:p>
            <w:pPr>
              <w:spacing w:after="0"/>
              <w:rPr>
                <w:sz w:val="24"/>
                <w:szCs w:val="24"/>
                <w:color w:val="auto"/>
              </w:rPr>
            </w:pPr>
          </w:p>
        </w:tc>
        <w:tc>
          <w:tcPr>
            <w:tcW w:w="1260" w:type="dxa"/>
            <w:vAlign w:val="bottom"/>
            <w:shd w:val="clear" w:color="auto" w:fill="1D3060"/>
          </w:tcPr>
          <w:p>
            <w:pPr>
              <w:spacing w:after="0"/>
              <w:rPr>
                <w:sz w:val="24"/>
                <w:szCs w:val="24"/>
                <w:color w:val="auto"/>
              </w:rPr>
            </w:pPr>
          </w:p>
        </w:tc>
        <w:tc>
          <w:tcPr>
            <w:tcW w:w="2000" w:type="dxa"/>
            <w:vAlign w:val="bottom"/>
            <w:shd w:val="clear" w:color="auto" w:fill="1D3060"/>
          </w:tcPr>
          <w:p>
            <w:pPr>
              <w:spacing w:after="0"/>
              <w:rPr>
                <w:sz w:val="24"/>
                <w:szCs w:val="24"/>
                <w:color w:val="auto"/>
              </w:rPr>
            </w:pPr>
          </w:p>
        </w:tc>
      </w:tr>
      <w:tr>
        <w:trPr>
          <w:trHeight w:val="333"/>
        </w:trPr>
        <w:tc>
          <w:tcPr>
            <w:tcW w:w="6160" w:type="dxa"/>
            <w:vAlign w:val="bottom"/>
            <w:shd w:val="clear" w:color="auto" w:fill="B4CFE9"/>
          </w:tcPr>
          <w:p>
            <w:pPr>
              <w:spacing w:after="0"/>
              <w:rPr>
                <w:sz w:val="20"/>
                <w:szCs w:val="20"/>
                <w:color w:val="auto"/>
              </w:rPr>
            </w:pPr>
            <w:r>
              <w:rPr>
                <w:rFonts w:ascii="Arial" w:cs="Arial" w:eastAsia="Arial" w:hAnsi="Arial"/>
                <w:sz w:val="18"/>
                <w:szCs w:val="18"/>
                <w:color w:val="auto"/>
              </w:rPr>
              <w:t> Total Number of Directors</w:t>
            </w:r>
          </w:p>
        </w:tc>
        <w:tc>
          <w:tcPr>
            <w:tcW w:w="720" w:type="dxa"/>
            <w:vAlign w:val="bottom"/>
            <w:shd w:val="clear" w:color="auto" w:fill="B4CFE9"/>
          </w:tcPr>
          <w:p>
            <w:pPr>
              <w:spacing w:after="0"/>
              <w:rPr>
                <w:sz w:val="24"/>
                <w:szCs w:val="24"/>
                <w:color w:val="auto"/>
              </w:rPr>
            </w:pPr>
          </w:p>
        </w:tc>
        <w:tc>
          <w:tcPr>
            <w:tcW w:w="880" w:type="dxa"/>
            <w:vAlign w:val="bottom"/>
            <w:shd w:val="clear" w:color="auto" w:fill="B4CFE9"/>
          </w:tcPr>
          <w:p>
            <w:pPr>
              <w:spacing w:after="0"/>
              <w:rPr>
                <w:sz w:val="24"/>
                <w:szCs w:val="24"/>
                <w:color w:val="auto"/>
              </w:rPr>
            </w:pPr>
          </w:p>
        </w:tc>
        <w:tc>
          <w:tcPr>
            <w:tcW w:w="1260" w:type="dxa"/>
            <w:vAlign w:val="bottom"/>
            <w:shd w:val="clear" w:color="auto" w:fill="B4CFE9"/>
          </w:tcPr>
          <w:p>
            <w:pPr>
              <w:jc w:val="right"/>
              <w:ind w:right="190"/>
              <w:spacing w:after="0"/>
              <w:rPr>
                <w:sz w:val="20"/>
                <w:szCs w:val="20"/>
                <w:color w:val="auto"/>
              </w:rPr>
            </w:pPr>
            <w:r>
              <w:rPr>
                <w:rFonts w:ascii="Arial" w:cs="Arial" w:eastAsia="Arial" w:hAnsi="Arial"/>
                <w:sz w:val="18"/>
                <w:szCs w:val="18"/>
                <w:color w:val="auto"/>
              </w:rPr>
              <w:t>12</w:t>
            </w:r>
          </w:p>
        </w:tc>
        <w:tc>
          <w:tcPr>
            <w:tcW w:w="2000" w:type="dxa"/>
            <w:vAlign w:val="bottom"/>
            <w:shd w:val="clear" w:color="auto" w:fill="B4CFE9"/>
          </w:tcPr>
          <w:p>
            <w:pPr>
              <w:spacing w:after="0"/>
              <w:rPr>
                <w:sz w:val="24"/>
                <w:szCs w:val="24"/>
                <w:color w:val="auto"/>
              </w:rPr>
            </w:pPr>
          </w:p>
        </w:tc>
      </w:tr>
      <w:tr>
        <w:trPr>
          <w:trHeight w:val="342"/>
        </w:trPr>
        <w:tc>
          <w:tcPr>
            <w:tcW w:w="6160" w:type="dxa"/>
            <w:vAlign w:val="bottom"/>
            <w:shd w:val="clear" w:color="auto" w:fill="1D3060"/>
          </w:tcPr>
          <w:p>
            <w:pPr>
              <w:spacing w:after="0"/>
              <w:rPr>
                <w:sz w:val="20"/>
                <w:szCs w:val="20"/>
                <w:color w:val="auto"/>
              </w:rPr>
            </w:pPr>
            <w:r>
              <w:rPr>
                <w:rFonts w:ascii="Arial" w:cs="Arial" w:eastAsia="Arial" w:hAnsi="Arial"/>
                <w:sz w:val="18"/>
                <w:szCs w:val="18"/>
                <w:b w:val="1"/>
                <w:bCs w:val="1"/>
                <w:color w:val="FFFFFF"/>
              </w:rPr>
              <w:t> Gender:</w:t>
            </w:r>
          </w:p>
        </w:tc>
        <w:tc>
          <w:tcPr>
            <w:tcW w:w="72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Male</w:t>
            </w:r>
          </w:p>
        </w:tc>
        <w:tc>
          <w:tcPr>
            <w:tcW w:w="88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Female</w:t>
            </w:r>
          </w:p>
        </w:tc>
        <w:tc>
          <w:tcPr>
            <w:tcW w:w="126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rPr>
              <w:t>Non-Binary</w:t>
            </w:r>
          </w:p>
        </w:tc>
        <w:tc>
          <w:tcPr>
            <w:tcW w:w="200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Gender Undisclosed</w:t>
            </w:r>
          </w:p>
        </w:tc>
      </w:tr>
      <w:tr>
        <w:trPr>
          <w:trHeight w:val="333"/>
        </w:trPr>
        <w:tc>
          <w:tcPr>
            <w:tcW w:w="6160" w:type="dxa"/>
            <w:vAlign w:val="bottom"/>
            <w:shd w:val="clear" w:color="auto" w:fill="B4CFE9"/>
          </w:tcPr>
          <w:p>
            <w:pPr>
              <w:spacing w:after="0"/>
              <w:rPr>
                <w:sz w:val="20"/>
                <w:szCs w:val="20"/>
                <w:color w:val="auto"/>
              </w:rPr>
            </w:pPr>
            <w:r>
              <w:rPr>
                <w:rFonts w:ascii="Arial" w:cs="Arial" w:eastAsia="Arial" w:hAnsi="Arial"/>
                <w:sz w:val="18"/>
                <w:szCs w:val="18"/>
                <w:color w:val="auto"/>
              </w:rPr>
              <w:t> Number of directors based on gender identity</w:t>
            </w:r>
          </w:p>
        </w:tc>
        <w:tc>
          <w:tcPr>
            <w:tcW w:w="72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7</w:t>
            </w:r>
          </w:p>
        </w:tc>
        <w:tc>
          <w:tcPr>
            <w:tcW w:w="88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5</w:t>
            </w:r>
          </w:p>
        </w:tc>
        <w:tc>
          <w:tcPr>
            <w:tcW w:w="126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c>
          <w:tcPr>
            <w:tcW w:w="200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r>
      <w:tr>
        <w:trPr>
          <w:trHeight w:val="342"/>
        </w:trPr>
        <w:tc>
          <w:tcPr>
            <w:tcW w:w="6160" w:type="dxa"/>
            <w:vAlign w:val="bottom"/>
            <w:shd w:val="clear" w:color="auto" w:fill="1D3060"/>
          </w:tcPr>
          <w:p>
            <w:pPr>
              <w:spacing w:after="0"/>
              <w:rPr>
                <w:sz w:val="20"/>
                <w:szCs w:val="20"/>
                <w:color w:val="auto"/>
              </w:rPr>
            </w:pPr>
            <w:r>
              <w:rPr>
                <w:rFonts w:ascii="Arial" w:cs="Arial" w:eastAsia="Arial" w:hAnsi="Arial"/>
                <w:sz w:val="18"/>
                <w:szCs w:val="18"/>
                <w:b w:val="1"/>
                <w:bCs w:val="1"/>
                <w:color w:val="FFFFFF"/>
              </w:rPr>
              <w:t> Number of directors who identify in any of the categories below:</w:t>
            </w:r>
          </w:p>
        </w:tc>
        <w:tc>
          <w:tcPr>
            <w:tcW w:w="720" w:type="dxa"/>
            <w:vAlign w:val="bottom"/>
            <w:shd w:val="clear" w:color="auto" w:fill="1D3060"/>
          </w:tcPr>
          <w:p>
            <w:pPr>
              <w:spacing w:after="0"/>
              <w:rPr>
                <w:sz w:val="24"/>
                <w:szCs w:val="24"/>
                <w:color w:val="auto"/>
              </w:rPr>
            </w:pPr>
          </w:p>
        </w:tc>
        <w:tc>
          <w:tcPr>
            <w:tcW w:w="880" w:type="dxa"/>
            <w:vAlign w:val="bottom"/>
            <w:shd w:val="clear" w:color="auto" w:fill="1D3060"/>
          </w:tcPr>
          <w:p>
            <w:pPr>
              <w:spacing w:after="0"/>
              <w:rPr>
                <w:sz w:val="24"/>
                <w:szCs w:val="24"/>
                <w:color w:val="auto"/>
              </w:rPr>
            </w:pPr>
          </w:p>
        </w:tc>
        <w:tc>
          <w:tcPr>
            <w:tcW w:w="1260" w:type="dxa"/>
            <w:vAlign w:val="bottom"/>
            <w:shd w:val="clear" w:color="auto" w:fill="1D3060"/>
          </w:tcPr>
          <w:p>
            <w:pPr>
              <w:spacing w:after="0"/>
              <w:rPr>
                <w:sz w:val="24"/>
                <w:szCs w:val="24"/>
                <w:color w:val="auto"/>
              </w:rPr>
            </w:pPr>
          </w:p>
        </w:tc>
        <w:tc>
          <w:tcPr>
            <w:tcW w:w="2000" w:type="dxa"/>
            <w:vAlign w:val="bottom"/>
            <w:shd w:val="clear" w:color="auto" w:fill="1D3060"/>
          </w:tcPr>
          <w:p>
            <w:pPr>
              <w:spacing w:after="0"/>
              <w:rPr>
                <w:sz w:val="24"/>
                <w:szCs w:val="24"/>
                <w:color w:val="auto"/>
              </w:rPr>
            </w:pPr>
          </w:p>
        </w:tc>
      </w:tr>
      <w:tr>
        <w:trPr>
          <w:trHeight w:val="338"/>
        </w:trPr>
        <w:tc>
          <w:tcPr>
            <w:tcW w:w="6160" w:type="dxa"/>
            <w:vAlign w:val="bottom"/>
            <w:shd w:val="clear" w:color="auto" w:fill="B4CFE9"/>
          </w:tcPr>
          <w:p>
            <w:pPr>
              <w:spacing w:after="0"/>
              <w:rPr>
                <w:sz w:val="20"/>
                <w:szCs w:val="20"/>
                <w:color w:val="auto"/>
              </w:rPr>
            </w:pPr>
            <w:r>
              <w:rPr>
                <w:rFonts w:ascii="Arial" w:cs="Arial" w:eastAsia="Arial" w:hAnsi="Arial"/>
                <w:sz w:val="18"/>
                <w:szCs w:val="18"/>
                <w:color w:val="auto"/>
              </w:rPr>
              <w:t> African American or Black</w:t>
            </w:r>
          </w:p>
        </w:tc>
        <w:tc>
          <w:tcPr>
            <w:tcW w:w="72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c>
          <w:tcPr>
            <w:tcW w:w="88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1</w:t>
            </w:r>
          </w:p>
        </w:tc>
        <w:tc>
          <w:tcPr>
            <w:tcW w:w="126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c>
          <w:tcPr>
            <w:tcW w:w="200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r>
      <w:tr>
        <w:trPr>
          <w:trHeight w:val="333"/>
        </w:trPr>
        <w:tc>
          <w:tcPr>
            <w:tcW w:w="6160" w:type="dxa"/>
            <w:vAlign w:val="bottom"/>
            <w:shd w:val="clear" w:color="auto" w:fill="D7E8F5"/>
          </w:tcPr>
          <w:p>
            <w:pPr>
              <w:spacing w:after="0"/>
              <w:rPr>
                <w:sz w:val="20"/>
                <w:szCs w:val="20"/>
                <w:color w:val="auto"/>
              </w:rPr>
            </w:pPr>
            <w:r>
              <w:rPr>
                <w:rFonts w:ascii="Arial" w:cs="Arial" w:eastAsia="Arial" w:hAnsi="Arial"/>
                <w:sz w:val="18"/>
                <w:szCs w:val="18"/>
                <w:color w:val="auto"/>
              </w:rPr>
              <w:t> Alaskan Native or American Indian</w:t>
            </w:r>
          </w:p>
        </w:tc>
        <w:tc>
          <w:tcPr>
            <w:tcW w:w="72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0</w:t>
            </w:r>
          </w:p>
        </w:tc>
        <w:tc>
          <w:tcPr>
            <w:tcW w:w="88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0</w:t>
            </w:r>
          </w:p>
        </w:tc>
        <w:tc>
          <w:tcPr>
            <w:tcW w:w="126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0</w:t>
            </w:r>
          </w:p>
        </w:tc>
        <w:tc>
          <w:tcPr>
            <w:tcW w:w="200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0</w:t>
            </w:r>
          </w:p>
        </w:tc>
      </w:tr>
      <w:tr>
        <w:trPr>
          <w:trHeight w:val="342"/>
        </w:trPr>
        <w:tc>
          <w:tcPr>
            <w:tcW w:w="6160" w:type="dxa"/>
            <w:vAlign w:val="bottom"/>
            <w:shd w:val="clear" w:color="auto" w:fill="B4CFE9"/>
          </w:tcPr>
          <w:p>
            <w:pPr>
              <w:spacing w:after="0"/>
              <w:rPr>
                <w:sz w:val="20"/>
                <w:szCs w:val="20"/>
                <w:color w:val="auto"/>
              </w:rPr>
            </w:pPr>
            <w:r>
              <w:rPr>
                <w:rFonts w:ascii="Arial" w:cs="Arial" w:eastAsia="Arial" w:hAnsi="Arial"/>
                <w:sz w:val="18"/>
                <w:szCs w:val="18"/>
                <w:color w:val="auto"/>
              </w:rPr>
              <w:t> Asian</w:t>
            </w:r>
          </w:p>
        </w:tc>
        <w:tc>
          <w:tcPr>
            <w:tcW w:w="72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c>
          <w:tcPr>
            <w:tcW w:w="88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c>
          <w:tcPr>
            <w:tcW w:w="126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c>
          <w:tcPr>
            <w:tcW w:w="200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r>
      <w:tr>
        <w:trPr>
          <w:trHeight w:val="333"/>
        </w:trPr>
        <w:tc>
          <w:tcPr>
            <w:tcW w:w="6160" w:type="dxa"/>
            <w:vAlign w:val="bottom"/>
            <w:shd w:val="clear" w:color="auto" w:fill="D7E8F5"/>
          </w:tcPr>
          <w:p>
            <w:pPr>
              <w:spacing w:after="0"/>
              <w:rPr>
                <w:sz w:val="20"/>
                <w:szCs w:val="20"/>
                <w:color w:val="auto"/>
              </w:rPr>
            </w:pPr>
            <w:r>
              <w:rPr>
                <w:rFonts w:ascii="Arial" w:cs="Arial" w:eastAsia="Arial" w:hAnsi="Arial"/>
                <w:sz w:val="18"/>
                <w:szCs w:val="18"/>
                <w:color w:val="auto"/>
              </w:rPr>
              <w:t> Hispanic or Latinx</w:t>
            </w:r>
          </w:p>
        </w:tc>
        <w:tc>
          <w:tcPr>
            <w:tcW w:w="72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0</w:t>
            </w:r>
          </w:p>
        </w:tc>
        <w:tc>
          <w:tcPr>
            <w:tcW w:w="88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0</w:t>
            </w:r>
          </w:p>
        </w:tc>
        <w:tc>
          <w:tcPr>
            <w:tcW w:w="126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0</w:t>
            </w:r>
          </w:p>
        </w:tc>
        <w:tc>
          <w:tcPr>
            <w:tcW w:w="200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0</w:t>
            </w:r>
          </w:p>
        </w:tc>
      </w:tr>
      <w:tr>
        <w:trPr>
          <w:trHeight w:val="342"/>
        </w:trPr>
        <w:tc>
          <w:tcPr>
            <w:tcW w:w="6160" w:type="dxa"/>
            <w:vAlign w:val="bottom"/>
            <w:shd w:val="clear" w:color="auto" w:fill="B4CFE9"/>
          </w:tcPr>
          <w:p>
            <w:pPr>
              <w:spacing w:after="0"/>
              <w:rPr>
                <w:sz w:val="20"/>
                <w:szCs w:val="20"/>
                <w:color w:val="auto"/>
              </w:rPr>
            </w:pPr>
            <w:r>
              <w:rPr>
                <w:rFonts w:ascii="Arial" w:cs="Arial" w:eastAsia="Arial" w:hAnsi="Arial"/>
                <w:sz w:val="18"/>
                <w:szCs w:val="18"/>
                <w:color w:val="auto"/>
              </w:rPr>
              <w:t> Native Hawaiian or Pacific Islander</w:t>
            </w:r>
          </w:p>
        </w:tc>
        <w:tc>
          <w:tcPr>
            <w:tcW w:w="72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c>
          <w:tcPr>
            <w:tcW w:w="88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c>
          <w:tcPr>
            <w:tcW w:w="126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c>
          <w:tcPr>
            <w:tcW w:w="200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r>
      <w:tr>
        <w:trPr>
          <w:trHeight w:val="333"/>
        </w:trPr>
        <w:tc>
          <w:tcPr>
            <w:tcW w:w="6160" w:type="dxa"/>
            <w:vAlign w:val="bottom"/>
            <w:shd w:val="clear" w:color="auto" w:fill="D7E8F5"/>
          </w:tcPr>
          <w:p>
            <w:pPr>
              <w:spacing w:after="0"/>
              <w:rPr>
                <w:sz w:val="20"/>
                <w:szCs w:val="20"/>
                <w:color w:val="auto"/>
              </w:rPr>
            </w:pPr>
            <w:r>
              <w:rPr>
                <w:rFonts w:ascii="Arial" w:cs="Arial" w:eastAsia="Arial" w:hAnsi="Arial"/>
                <w:sz w:val="18"/>
                <w:szCs w:val="18"/>
                <w:color w:val="auto"/>
              </w:rPr>
              <w:t> White</w:t>
            </w:r>
          </w:p>
        </w:tc>
        <w:tc>
          <w:tcPr>
            <w:tcW w:w="72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7</w:t>
            </w:r>
          </w:p>
        </w:tc>
        <w:tc>
          <w:tcPr>
            <w:tcW w:w="88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0</w:t>
            </w:r>
          </w:p>
        </w:tc>
        <w:tc>
          <w:tcPr>
            <w:tcW w:w="2000" w:type="dxa"/>
            <w:vAlign w:val="bottom"/>
            <w:shd w:val="clear" w:color="auto" w:fill="D7E8F5"/>
          </w:tcPr>
          <w:p>
            <w:pPr>
              <w:jc w:val="center"/>
              <w:spacing w:after="0"/>
              <w:rPr>
                <w:sz w:val="20"/>
                <w:szCs w:val="20"/>
                <w:color w:val="auto"/>
              </w:rPr>
            </w:pPr>
            <w:r>
              <w:rPr>
                <w:rFonts w:ascii="Arial" w:cs="Arial" w:eastAsia="Arial" w:hAnsi="Arial"/>
                <w:sz w:val="18"/>
                <w:szCs w:val="18"/>
                <w:color w:val="auto"/>
                <w:w w:val="99"/>
              </w:rPr>
              <w:t>0</w:t>
            </w:r>
          </w:p>
        </w:tc>
      </w:tr>
      <w:tr>
        <w:trPr>
          <w:trHeight w:val="342"/>
        </w:trPr>
        <w:tc>
          <w:tcPr>
            <w:tcW w:w="6160" w:type="dxa"/>
            <w:vAlign w:val="bottom"/>
            <w:shd w:val="clear" w:color="auto" w:fill="B4CFE9"/>
          </w:tcPr>
          <w:p>
            <w:pPr>
              <w:spacing w:after="0"/>
              <w:rPr>
                <w:sz w:val="20"/>
                <w:szCs w:val="20"/>
                <w:color w:val="auto"/>
              </w:rPr>
            </w:pPr>
            <w:r>
              <w:rPr>
                <w:rFonts w:ascii="Arial" w:cs="Arial" w:eastAsia="Arial" w:hAnsi="Arial"/>
                <w:sz w:val="18"/>
                <w:szCs w:val="18"/>
                <w:color w:val="auto"/>
              </w:rPr>
              <w:t> Two or More Races or Ethnicities</w:t>
            </w:r>
          </w:p>
        </w:tc>
        <w:tc>
          <w:tcPr>
            <w:tcW w:w="72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c>
          <w:tcPr>
            <w:tcW w:w="88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1</w:t>
            </w:r>
          </w:p>
        </w:tc>
        <w:tc>
          <w:tcPr>
            <w:tcW w:w="126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c>
          <w:tcPr>
            <w:tcW w:w="2000" w:type="dxa"/>
            <w:vAlign w:val="bottom"/>
            <w:shd w:val="clear" w:color="auto" w:fill="B4CFE9"/>
          </w:tcPr>
          <w:p>
            <w:pPr>
              <w:jc w:val="center"/>
              <w:spacing w:after="0"/>
              <w:rPr>
                <w:sz w:val="20"/>
                <w:szCs w:val="20"/>
                <w:color w:val="auto"/>
              </w:rPr>
            </w:pPr>
            <w:r>
              <w:rPr>
                <w:rFonts w:ascii="Arial" w:cs="Arial" w:eastAsia="Arial" w:hAnsi="Arial"/>
                <w:sz w:val="18"/>
                <w:szCs w:val="18"/>
                <w:color w:val="auto"/>
                <w:w w:val="99"/>
              </w:rPr>
              <w:t>0</w:t>
            </w:r>
          </w:p>
        </w:tc>
      </w:tr>
      <w:tr>
        <w:trPr>
          <w:trHeight w:val="333"/>
        </w:trPr>
        <w:tc>
          <w:tcPr>
            <w:tcW w:w="6160" w:type="dxa"/>
            <w:vAlign w:val="bottom"/>
            <w:shd w:val="clear" w:color="auto" w:fill="D7E8F5"/>
          </w:tcPr>
          <w:p>
            <w:pPr>
              <w:spacing w:after="0"/>
              <w:rPr>
                <w:sz w:val="20"/>
                <w:szCs w:val="20"/>
                <w:color w:val="auto"/>
              </w:rPr>
            </w:pPr>
            <w:r>
              <w:rPr>
                <w:rFonts w:ascii="Arial" w:cs="Arial" w:eastAsia="Arial" w:hAnsi="Arial"/>
                <w:sz w:val="18"/>
                <w:szCs w:val="18"/>
                <w:color w:val="auto"/>
              </w:rPr>
              <w:t> LGBTQ+</w:t>
            </w:r>
          </w:p>
        </w:tc>
        <w:tc>
          <w:tcPr>
            <w:tcW w:w="720" w:type="dxa"/>
            <w:vAlign w:val="bottom"/>
            <w:shd w:val="clear" w:color="auto" w:fill="D7E8F5"/>
          </w:tcPr>
          <w:p>
            <w:pPr>
              <w:spacing w:after="0"/>
              <w:rPr>
                <w:sz w:val="24"/>
                <w:szCs w:val="24"/>
                <w:color w:val="auto"/>
              </w:rPr>
            </w:pPr>
          </w:p>
        </w:tc>
        <w:tc>
          <w:tcPr>
            <w:tcW w:w="880" w:type="dxa"/>
            <w:vAlign w:val="bottom"/>
            <w:shd w:val="clear" w:color="auto" w:fill="D7E8F5"/>
          </w:tcPr>
          <w:p>
            <w:pPr>
              <w:spacing w:after="0"/>
              <w:rPr>
                <w:sz w:val="24"/>
                <w:szCs w:val="24"/>
                <w:color w:val="auto"/>
              </w:rPr>
            </w:pPr>
          </w:p>
        </w:tc>
        <w:tc>
          <w:tcPr>
            <w:tcW w:w="1260" w:type="dxa"/>
            <w:vAlign w:val="bottom"/>
            <w:shd w:val="clear" w:color="auto" w:fill="D7E8F5"/>
          </w:tcPr>
          <w:p>
            <w:pPr>
              <w:jc w:val="right"/>
              <w:ind w:right="50"/>
              <w:spacing w:after="0"/>
              <w:rPr>
                <w:sz w:val="20"/>
                <w:szCs w:val="20"/>
                <w:color w:val="auto"/>
              </w:rPr>
            </w:pPr>
            <w:r>
              <w:rPr>
                <w:rFonts w:ascii="Arial" w:cs="Arial" w:eastAsia="Arial" w:hAnsi="Arial"/>
                <w:sz w:val="18"/>
                <w:szCs w:val="18"/>
                <w:color w:val="auto"/>
              </w:rPr>
              <w:t>1</w:t>
            </w:r>
          </w:p>
        </w:tc>
        <w:tc>
          <w:tcPr>
            <w:tcW w:w="2000" w:type="dxa"/>
            <w:vAlign w:val="bottom"/>
            <w:shd w:val="clear" w:color="auto" w:fill="D7E8F5"/>
          </w:tcPr>
          <w:p>
            <w:pPr>
              <w:spacing w:after="0"/>
              <w:rPr>
                <w:sz w:val="24"/>
                <w:szCs w:val="24"/>
                <w:color w:val="auto"/>
              </w:rPr>
            </w:pPr>
          </w:p>
        </w:tc>
      </w:tr>
      <w:tr>
        <w:trPr>
          <w:trHeight w:val="342"/>
        </w:trPr>
        <w:tc>
          <w:tcPr>
            <w:tcW w:w="6160" w:type="dxa"/>
            <w:vAlign w:val="bottom"/>
            <w:shd w:val="clear" w:color="auto" w:fill="B4CFE9"/>
          </w:tcPr>
          <w:p>
            <w:pPr>
              <w:spacing w:after="0"/>
              <w:rPr>
                <w:sz w:val="20"/>
                <w:szCs w:val="20"/>
                <w:color w:val="auto"/>
              </w:rPr>
            </w:pPr>
            <w:r>
              <w:rPr>
                <w:rFonts w:ascii="Arial" w:cs="Arial" w:eastAsia="Arial" w:hAnsi="Arial"/>
                <w:sz w:val="18"/>
                <w:szCs w:val="18"/>
                <w:color w:val="auto"/>
              </w:rPr>
              <w:t> Undisclosed</w:t>
            </w:r>
          </w:p>
        </w:tc>
        <w:tc>
          <w:tcPr>
            <w:tcW w:w="720" w:type="dxa"/>
            <w:vAlign w:val="bottom"/>
            <w:shd w:val="clear" w:color="auto" w:fill="B4CFE9"/>
          </w:tcPr>
          <w:p>
            <w:pPr>
              <w:spacing w:after="0"/>
              <w:rPr>
                <w:sz w:val="24"/>
                <w:szCs w:val="24"/>
                <w:color w:val="auto"/>
              </w:rPr>
            </w:pPr>
          </w:p>
        </w:tc>
        <w:tc>
          <w:tcPr>
            <w:tcW w:w="880" w:type="dxa"/>
            <w:vAlign w:val="bottom"/>
            <w:shd w:val="clear" w:color="auto" w:fill="B4CFE9"/>
          </w:tcPr>
          <w:p>
            <w:pPr>
              <w:spacing w:after="0"/>
              <w:rPr>
                <w:sz w:val="24"/>
                <w:szCs w:val="24"/>
                <w:color w:val="auto"/>
              </w:rPr>
            </w:pPr>
          </w:p>
        </w:tc>
        <w:tc>
          <w:tcPr>
            <w:tcW w:w="1260" w:type="dxa"/>
            <w:vAlign w:val="bottom"/>
            <w:shd w:val="clear" w:color="auto" w:fill="B4CFE9"/>
          </w:tcPr>
          <w:p>
            <w:pPr>
              <w:jc w:val="right"/>
              <w:ind w:right="50"/>
              <w:spacing w:after="0"/>
              <w:rPr>
                <w:sz w:val="20"/>
                <w:szCs w:val="20"/>
                <w:color w:val="auto"/>
              </w:rPr>
            </w:pPr>
            <w:r>
              <w:rPr>
                <w:rFonts w:ascii="Arial" w:cs="Arial" w:eastAsia="Arial" w:hAnsi="Arial"/>
                <w:sz w:val="18"/>
                <w:szCs w:val="18"/>
                <w:color w:val="auto"/>
              </w:rPr>
              <w:t>0</w:t>
            </w:r>
          </w:p>
        </w:tc>
        <w:tc>
          <w:tcPr>
            <w:tcW w:w="2000" w:type="dxa"/>
            <w:vAlign w:val="bottom"/>
            <w:shd w:val="clear" w:color="auto" w:fill="B4CFE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-2571115</wp:posOffset>
            </wp:positionV>
            <wp:extent cx="8255" cy="4286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42862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-2571115</wp:posOffset>
            </wp:positionV>
            <wp:extent cx="8890" cy="4286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42862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-2571115</wp:posOffset>
            </wp:positionV>
            <wp:extent cx="8255" cy="4286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42862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-2785745</wp:posOffset>
            </wp:positionV>
            <wp:extent cx="1765935" cy="27863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65935" cy="2786380"/>
                    </a:xfrm>
                    <a:prstGeom prst="rect">
                      <a:avLst/>
                    </a:prstGeom>
                    <a:noFill/>
                  </pic:spPr>
                </pic:pic>
              </a:graphicData>
            </a:graphic>
          </wp:anchor>
        </w:drawing>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Stockholder Nominations</w:t>
      </w:r>
    </w:p>
    <w:p>
      <w:pPr>
        <w:spacing w:after="0" w:line="202" w:lineRule="exact"/>
        <w:rPr>
          <w:sz w:val="20"/>
          <w:szCs w:val="20"/>
          <w:color w:val="auto"/>
        </w:rPr>
      </w:pPr>
    </w:p>
    <w:p>
      <w:pPr>
        <w:ind w:left="120" w:right="40" w:firstLine="771"/>
        <w:spacing w:after="0" w:line="229" w:lineRule="auto"/>
        <w:rPr>
          <w:sz w:val="20"/>
          <w:szCs w:val="20"/>
          <w:color w:val="auto"/>
        </w:rPr>
      </w:pPr>
      <w:r>
        <w:rPr>
          <w:rFonts w:ascii="Arial" w:cs="Arial" w:eastAsia="Arial" w:hAnsi="Arial"/>
          <w:sz w:val="20"/>
          <w:szCs w:val="20"/>
          <w:color w:val="auto"/>
        </w:rPr>
        <w:t>Stockholders may recommend individuals to our nominating and corporate governance committee for consideration as potential director candidates by submitting their names, together with appropriate biographical information and background materials and, if the stockholder is not a stockholder of record, a statement as to whether the stockholder or group of stockholders making the recommendation has beneficially owned more than 5% of our common stock for at least a year as of the date such recommendation is made, to the Nominating and Corporate Governance Committee, c/o Corporate Secretary, Alnylam Pharmaceuticals, Inc., 675 West Kendall Street, Henri A. Termeer Square, Cambridge, Massachusetts 02142.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 Stockholders also have the right under our bylaws to nominate director candidates directly, without any action or recommendation on the part of the committee or our board of directors, by following the procedures set forth below under the heading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560" w:firstLine="771"/>
        <w:spacing w:after="0" w:line="237" w:lineRule="auto"/>
        <w:rPr>
          <w:sz w:val="20"/>
          <w:szCs w:val="20"/>
          <w:color w:val="auto"/>
        </w:rPr>
      </w:pPr>
      <w:r>
        <w:rPr>
          <w:rFonts w:ascii="Arial" w:cs="Arial" w:eastAsia="Arial" w:hAnsi="Arial"/>
          <w:sz w:val="20"/>
          <w:szCs w:val="20"/>
          <w:color w:val="auto"/>
        </w:rPr>
        <w:t>At the annual meeting, stockholders will be asked to consider the election of Drs. Ausiello and Brandicourt and Messrs. Kellogg and Pyott, each of whom currently serves on our board of directors. Drs. Ausiello and Brandicourt and Messrs. Kellogg and Pyott were proposed to our board by our nominating and corporate governance committee and our board determined to include them as its nominees.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Majority Voting Policy</w:t>
      </w:r>
    </w:p>
    <w:p>
      <w:pPr>
        <w:spacing w:after="0" w:line="204" w:lineRule="exact"/>
        <w:rPr>
          <w:sz w:val="20"/>
          <w:szCs w:val="20"/>
          <w:color w:val="auto"/>
        </w:rPr>
      </w:pPr>
    </w:p>
    <w:p>
      <w:pPr>
        <w:ind w:left="120" w:right="40" w:firstLine="771"/>
        <w:spacing w:after="0" w:line="228" w:lineRule="auto"/>
        <w:rPr>
          <w:sz w:val="20"/>
          <w:szCs w:val="20"/>
          <w:color w:val="auto"/>
        </w:rPr>
      </w:pPr>
      <w:r>
        <w:rPr>
          <w:rFonts w:ascii="Arial" w:cs="Arial" w:eastAsia="Arial" w:hAnsi="Arial"/>
          <w:sz w:val="20"/>
          <w:szCs w:val="20"/>
          <w:color w:val="auto"/>
        </w:rPr>
        <w:t>Our bylaws provide that the vote required for the election of a director by the stockholders shall, except in a contested election, be the affirmative vote of a majority of the votes cast with respect to the election of such director nominee at a meeting of stockholders. In order to receive a majority of the votes cast, the number of shares voted “FOR” must exceed the number of votes “AGAINST.” In any non-contested election of directors, any incumbent director nominee who receives a greater number of votes cast against his or her election than in favor of his or her election shall, promptly following the certification of the stockholder vote, tender his or her resignation to the board. The board shall then decide, through a process managed by our nominating and corporate governance committee, whether to accept the resignation, or take other action. The board expects that a director whose resignation is under consideration shall abstain from participating in any decision regarding his or her resignation. In reaching its decision, the board may consider any factors deemed relevant, including the incumbent director nominee’s qualifications, the incumbent director nominee’s past and expected future contributions to the company, the overall composition of the board, and whether accepting the tendered resignation would cause us to fail to meet any applicable rule or regulation (including Nasdaq Global Select Market listing standards and federal securities laws). The board will publicly disclose its decision and rationale, within 90 days following certification of the stockholder vote. If an incumbent director nominee’s resignation is not accepted, he or she will continue to hold office until the next annual meeting and until his or her successor shall be duly elected and qualified. In such circumstances, the director will remain in his or her existing class and the election held at the next such annual meeting shall be whether to elect him or her to serve the remainder of his or her three-year term.</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Stockholder Engagement and Communications with the Independent Directors</w:t>
      </w:r>
    </w:p>
    <w:p>
      <w:pPr>
        <w:spacing w:after="0" w:line="204" w:lineRule="exact"/>
        <w:rPr>
          <w:sz w:val="20"/>
          <w:szCs w:val="20"/>
          <w:color w:val="auto"/>
        </w:rPr>
      </w:pPr>
    </w:p>
    <w:p>
      <w:pPr>
        <w:ind w:left="120" w:right="100" w:firstLine="771"/>
        <w:spacing w:after="0" w:line="230" w:lineRule="auto"/>
        <w:rPr>
          <w:sz w:val="20"/>
          <w:szCs w:val="20"/>
          <w:color w:val="auto"/>
        </w:rPr>
      </w:pPr>
      <w:r>
        <w:rPr>
          <w:rFonts w:ascii="Arial" w:cs="Arial" w:eastAsia="Arial" w:hAnsi="Arial"/>
          <w:sz w:val="20"/>
          <w:szCs w:val="20"/>
          <w:color w:val="auto"/>
        </w:rPr>
        <w:t>We regularly engage with our stockholders through open dialogue and direct individual communication to solicit their feedback on our executive compensation, corporate governance and disclosure practices in order to gain a better understanding of the practices they most value. Stockholder feedback is important, and the information we glean from these engagements is highly valued. Our stockholder engagement team has consisted of certain independent directors and members of our legal, investor relations and human resources expertise areas. Stockholders also regularly meet with members of our senior management team to discuss our strategy and review our business, goals and performance. In 2023, we engaged with several stockholders who owned, in aggregate, a meaningful percentage of our outstanding shares. The feedback we received from those conversations was conveyed to the rest of the board and relevant board committees and served as valuable input to board and committee discussions and considerations.</w:t>
      </w:r>
    </w:p>
    <w:p>
      <w:pPr>
        <w:spacing w:after="0" w:line="176" w:lineRule="exact"/>
        <w:rPr>
          <w:sz w:val="20"/>
          <w:szCs w:val="20"/>
          <w:color w:val="auto"/>
        </w:rPr>
      </w:pPr>
    </w:p>
    <w:p>
      <w:pPr>
        <w:ind w:left="120" w:right="180" w:firstLine="771"/>
        <w:spacing w:after="0" w:line="237" w:lineRule="auto"/>
        <w:rPr>
          <w:sz w:val="20"/>
          <w:szCs w:val="20"/>
          <w:color w:val="auto"/>
        </w:rPr>
      </w:pPr>
      <w:r>
        <w:rPr>
          <w:rFonts w:ascii="Arial" w:cs="Arial" w:eastAsia="Arial" w:hAnsi="Arial"/>
          <w:sz w:val="20"/>
          <w:szCs w:val="20"/>
          <w:color w:val="auto"/>
        </w:rPr>
        <w:t>In addition, our board of directors will give appropriate attention to written communications that are submitted by stockholders, and will respond if and as appropriate. The chair of our board (if an independent director), the lead director (if one is appointed), or otherwise the chair of our nominating and corporate governance committee, is primarily responsible for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660"/>
        <w:spacing w:after="0" w:line="257" w:lineRule="auto"/>
        <w:rPr>
          <w:sz w:val="20"/>
          <w:szCs w:val="20"/>
          <w:color w:val="auto"/>
        </w:rPr>
      </w:pPr>
      <w:r>
        <w:rPr>
          <w:rFonts w:ascii="Arial" w:cs="Arial" w:eastAsia="Arial" w:hAnsi="Arial"/>
          <w:sz w:val="20"/>
          <w:szCs w:val="20"/>
          <w:color w:val="auto"/>
        </w:rPr>
        <w:t>communications from stockholders and for providing copies or summaries to the other directors as he or she considers appropriate.</w:t>
      </w:r>
    </w:p>
    <w:p>
      <w:pPr>
        <w:spacing w:after="0" w:line="155" w:lineRule="exact"/>
        <w:rPr>
          <w:sz w:val="20"/>
          <w:szCs w:val="20"/>
          <w:color w:val="auto"/>
        </w:rPr>
      </w:pPr>
    </w:p>
    <w:p>
      <w:pPr>
        <w:ind w:left="120" w:right="40" w:firstLine="771"/>
        <w:spacing w:after="0" w:line="233" w:lineRule="auto"/>
        <w:rPr>
          <w:sz w:val="20"/>
          <w:szCs w:val="20"/>
          <w:color w:val="auto"/>
        </w:rPr>
      </w:pPr>
      <w:r>
        <w:rPr>
          <w:rFonts w:ascii="Arial" w:cs="Arial" w:eastAsia="Arial" w:hAnsi="Arial"/>
          <w:sz w:val="20"/>
          <w:szCs w:val="20"/>
          <w:color w:val="auto"/>
        </w:rPr>
        <w:t>Communications are forwarded to all directors if they relate to important substantive matters and include suggestions or comments that the chair of our board (if an independent director), or the lead director (if one is appointed), or otherwise the chair of our nominating and corporate governance committee, considers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communications.</w:t>
      </w:r>
    </w:p>
    <w:p>
      <w:pPr>
        <w:spacing w:after="0" w:line="172" w:lineRule="exact"/>
        <w:rPr>
          <w:sz w:val="20"/>
          <w:szCs w:val="20"/>
          <w:color w:val="auto"/>
        </w:rPr>
      </w:pPr>
    </w:p>
    <w:p>
      <w:pPr>
        <w:jc w:val="both"/>
        <w:ind w:left="120" w:right="240" w:firstLine="771"/>
        <w:spacing w:after="0" w:line="241" w:lineRule="auto"/>
        <w:rPr>
          <w:sz w:val="20"/>
          <w:szCs w:val="20"/>
          <w:color w:val="auto"/>
        </w:rPr>
      </w:pPr>
      <w:r>
        <w:rPr>
          <w:rFonts w:ascii="Arial" w:cs="Arial" w:eastAsia="Arial" w:hAnsi="Arial"/>
          <w:sz w:val="20"/>
          <w:szCs w:val="20"/>
          <w:color w:val="auto"/>
        </w:rPr>
        <w:t>Stockholders who wish to send communications on any topic to our board should address such communications to the Board of Directors, c/o Corporate Secretary, Alnylam Pharmaceuticals, Inc., 675 West Kendall Street, Henri A. Termeer Square, Cambridge, Massachusetts 02142.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8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8970" cy="63817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Compensation of Directors</w:t>
      </w:r>
    </w:p>
    <w:p>
      <w:pPr>
        <w:spacing w:after="0" w:line="204" w:lineRule="exact"/>
        <w:rPr>
          <w:sz w:val="20"/>
          <w:szCs w:val="20"/>
          <w:color w:val="auto"/>
        </w:rPr>
      </w:pPr>
    </w:p>
    <w:p>
      <w:pPr>
        <w:ind w:left="120" w:right="160" w:firstLine="771"/>
        <w:spacing w:after="0" w:line="237" w:lineRule="auto"/>
        <w:rPr>
          <w:sz w:val="20"/>
          <w:szCs w:val="20"/>
          <w:color w:val="auto"/>
        </w:rPr>
      </w:pPr>
      <w:r>
        <w:rPr>
          <w:rFonts w:ascii="Arial" w:cs="Arial" w:eastAsia="Arial" w:hAnsi="Arial"/>
          <w:sz w:val="20"/>
          <w:szCs w:val="20"/>
          <w:color w:val="auto"/>
        </w:rPr>
        <w:t>We compensate our non-employee directors for their service as directors. We do not pay directors who are also our employees any additional compensation for their service as a director. Accordingly, Dr. Greenstreet did not receive any additional compensation for her service as a director during 2023, and Mr. Bonney did not receive any additional compensation for his service as a director for the portion of 2023 during which he also served as our executive chair.</w:t>
      </w:r>
    </w:p>
    <w:p>
      <w:pPr>
        <w:spacing w:after="0" w:line="172" w:lineRule="exact"/>
        <w:rPr>
          <w:sz w:val="20"/>
          <w:szCs w:val="20"/>
          <w:color w:val="auto"/>
        </w:rPr>
      </w:pPr>
    </w:p>
    <w:p>
      <w:pPr>
        <w:ind w:left="120" w:right="120" w:firstLine="771"/>
        <w:spacing w:after="0" w:line="232" w:lineRule="auto"/>
        <w:rPr>
          <w:sz w:val="20"/>
          <w:szCs w:val="20"/>
          <w:color w:val="auto"/>
        </w:rPr>
      </w:pPr>
      <w:r>
        <w:rPr>
          <w:rFonts w:ascii="Arial" w:cs="Arial" w:eastAsia="Arial" w:hAnsi="Arial"/>
          <w:sz w:val="20"/>
          <w:szCs w:val="20"/>
          <w:color w:val="auto"/>
        </w:rPr>
        <w:t>Our PC&amp;C committee periodically reviews the compensation we pay our non-employee directors, with input from its independent compensation consultant. Our PC&amp;C committee compares our board compensation to compensation paid to non-employee directors of our peer group companies. Our PC&amp;C committee also considers the responsibilities we ask of our board members along with the amount of time required to perform those responsibilities. In February 2023, our PC&amp;C committee, with the assistance of Pay Governance, performed a comprehensive review of director compensation. Following this review, the PC&amp;C committee and our board of directors determined to adjust certain elements of the cash compensation paid to our non-employee directors, to be more competitive with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140" w:firstLine="771"/>
        <w:spacing w:after="0" w:line="237" w:lineRule="auto"/>
        <w:rPr>
          <w:sz w:val="20"/>
          <w:szCs w:val="20"/>
          <w:color w:val="auto"/>
        </w:rPr>
      </w:pPr>
      <w:r>
        <w:rPr>
          <w:rFonts w:ascii="Arial" w:cs="Arial" w:eastAsia="Arial" w:hAnsi="Arial"/>
          <w:sz w:val="20"/>
          <w:szCs w:val="20"/>
          <w:color w:val="auto"/>
        </w:rPr>
        <w:t>The table below reflects the non-employee director compensation that was in effect through March 2023 as well as the changes (in italics) to non-employee director compensation that were approved in February 2023, and went into effect as of April 1, 2023. Increases in fees were pro-rated for 2023 based upon the date of approval and the date of each non-employee director’s committee appointments, as applicable.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5720" w:type="dxa"/>
            <w:vAlign w:val="bottom"/>
            <w:shd w:val="clear" w:color="auto" w:fill="1D3060"/>
          </w:tcPr>
          <w:p>
            <w:pPr>
              <w:spacing w:after="0"/>
              <w:rPr>
                <w:sz w:val="22"/>
                <w:szCs w:val="22"/>
                <w:color w:val="auto"/>
              </w:rPr>
            </w:pPr>
          </w:p>
        </w:tc>
        <w:tc>
          <w:tcPr>
            <w:tcW w:w="266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Compensation Amount</w:t>
            </w:r>
          </w:p>
        </w:tc>
        <w:tc>
          <w:tcPr>
            <w:tcW w:w="264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Compensation Amount</w:t>
            </w:r>
          </w:p>
        </w:tc>
      </w:tr>
      <w:tr>
        <w:trPr>
          <w:trHeight w:val="244"/>
        </w:trPr>
        <w:tc>
          <w:tcPr>
            <w:tcW w:w="5720" w:type="dxa"/>
            <w:vAlign w:val="bottom"/>
            <w:tcBorders>
              <w:bottom w:val="single" w:sz="8" w:color="1D3060"/>
            </w:tcBorders>
            <w:shd w:val="clear" w:color="auto" w:fill="1D3060"/>
          </w:tcPr>
          <w:p>
            <w:pPr>
              <w:spacing w:after="0"/>
              <w:rPr>
                <w:sz w:val="20"/>
                <w:szCs w:val="20"/>
                <w:color w:val="auto"/>
              </w:rPr>
            </w:pPr>
            <w:r>
              <w:rPr>
                <w:rFonts w:ascii="Arial" w:cs="Arial" w:eastAsia="Arial" w:hAnsi="Arial"/>
                <w:sz w:val="14"/>
                <w:szCs w:val="14"/>
                <w:b w:val="1"/>
                <w:bCs w:val="1"/>
                <w:color w:val="FFFFFF"/>
              </w:rPr>
              <w:t>  Compensation Type</w:t>
            </w:r>
          </w:p>
        </w:tc>
        <w:tc>
          <w:tcPr>
            <w:tcW w:w="266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rPr>
              <w:t>Before April 1, 2023</w:t>
            </w:r>
          </w:p>
        </w:tc>
        <w:tc>
          <w:tcPr>
            <w:tcW w:w="264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rPr>
              <w:t>as of April 1, 2023</w:t>
            </w:r>
          </w:p>
        </w:tc>
      </w:tr>
      <w:tr>
        <w:trPr>
          <w:trHeight w:val="230"/>
        </w:trPr>
        <w:tc>
          <w:tcPr>
            <w:tcW w:w="5720" w:type="dxa"/>
            <w:vAlign w:val="bottom"/>
            <w:tcBorders>
              <w:top w:val="single" w:sz="8" w:color="2275B5"/>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Annual Retainer</w:t>
            </w:r>
          </w:p>
        </w:tc>
        <w:tc>
          <w:tcPr>
            <w:tcW w:w="2660" w:type="dxa"/>
            <w:vAlign w:val="bottom"/>
            <w:tcBorders>
              <w:top w:val="single" w:sz="8" w:color="2275B5"/>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rPr>
              <w:t>$55,000</w:t>
            </w:r>
          </w:p>
        </w:tc>
        <w:tc>
          <w:tcPr>
            <w:tcW w:w="2640" w:type="dxa"/>
            <w:vAlign w:val="bottom"/>
            <w:tcBorders>
              <w:top w:val="single" w:sz="8" w:color="2275B5"/>
              <w:bottom w:val="single" w:sz="8" w:color="D7E8F5"/>
            </w:tcBorders>
            <w:shd w:val="clear" w:color="auto" w:fill="D7E8F5"/>
          </w:tcPr>
          <w:p>
            <w:pPr>
              <w:jc w:val="center"/>
              <w:spacing w:after="0"/>
              <w:rPr>
                <w:sz w:val="20"/>
                <w:szCs w:val="20"/>
                <w:color w:val="auto"/>
              </w:rPr>
            </w:pPr>
            <w:r>
              <w:rPr>
                <w:rFonts w:ascii="Arial" w:cs="Arial" w:eastAsia="Arial" w:hAnsi="Arial"/>
                <w:sz w:val="14"/>
                <w:szCs w:val="14"/>
                <w:i w:val="1"/>
                <w:iCs w:val="1"/>
                <w:color w:val="auto"/>
              </w:rPr>
              <w:t>$60,000</w:t>
            </w:r>
          </w:p>
        </w:tc>
      </w:tr>
      <w:tr>
        <w:trPr>
          <w:trHeight w:val="235"/>
        </w:trPr>
        <w:tc>
          <w:tcPr>
            <w:tcW w:w="5720" w:type="dxa"/>
            <w:vAlign w:val="bottom"/>
          </w:tcPr>
          <w:p>
            <w:pPr>
              <w:spacing w:after="0"/>
              <w:rPr>
                <w:sz w:val="20"/>
                <w:szCs w:val="20"/>
                <w:color w:val="auto"/>
              </w:rPr>
            </w:pPr>
            <w:r>
              <w:rPr>
                <w:rFonts w:ascii="Arial" w:cs="Arial" w:eastAsia="Arial" w:hAnsi="Arial"/>
                <w:sz w:val="14"/>
                <w:szCs w:val="14"/>
                <w:color w:val="auto"/>
              </w:rPr>
              <w:t>  Independent Board Chair Fee</w:t>
            </w:r>
          </w:p>
        </w:tc>
        <w:tc>
          <w:tcPr>
            <w:tcW w:w="2660" w:type="dxa"/>
            <w:vAlign w:val="bottom"/>
          </w:tcPr>
          <w:p>
            <w:pPr>
              <w:jc w:val="center"/>
              <w:spacing w:after="0"/>
              <w:rPr>
                <w:sz w:val="20"/>
                <w:szCs w:val="20"/>
                <w:color w:val="auto"/>
              </w:rPr>
            </w:pPr>
            <w:r>
              <w:rPr>
                <w:rFonts w:ascii="Arial" w:cs="Arial" w:eastAsia="Arial" w:hAnsi="Arial"/>
                <w:sz w:val="14"/>
                <w:szCs w:val="14"/>
                <w:color w:val="auto"/>
              </w:rPr>
              <w:t>$35,000</w:t>
            </w:r>
          </w:p>
        </w:tc>
        <w:tc>
          <w:tcPr>
            <w:tcW w:w="2640" w:type="dxa"/>
            <w:vAlign w:val="bottom"/>
          </w:tcPr>
          <w:p>
            <w:pPr>
              <w:jc w:val="center"/>
              <w:spacing w:after="0"/>
              <w:rPr>
                <w:sz w:val="20"/>
                <w:szCs w:val="20"/>
                <w:color w:val="auto"/>
              </w:rPr>
            </w:pPr>
            <w:r>
              <w:rPr>
                <w:rFonts w:ascii="Arial" w:cs="Arial" w:eastAsia="Arial" w:hAnsi="Arial"/>
                <w:sz w:val="14"/>
                <w:szCs w:val="14"/>
                <w:i w:val="1"/>
                <w:iCs w:val="1"/>
                <w:color w:val="auto"/>
              </w:rPr>
              <w:t>$65,000</w:t>
            </w:r>
          </w:p>
        </w:tc>
      </w:tr>
      <w:tr>
        <w:trPr>
          <w:trHeight w:val="35"/>
        </w:trPr>
        <w:tc>
          <w:tcPr>
            <w:tcW w:w="57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640" w:type="dxa"/>
            <w:vAlign w:val="bottom"/>
          </w:tcPr>
          <w:p>
            <w:pPr>
              <w:spacing w:after="0"/>
              <w:rPr>
                <w:sz w:val="3"/>
                <w:szCs w:val="3"/>
                <w:color w:val="auto"/>
              </w:rPr>
            </w:pPr>
          </w:p>
        </w:tc>
      </w:tr>
      <w:tr>
        <w:trPr>
          <w:trHeight w:val="250"/>
        </w:trPr>
        <w:tc>
          <w:tcPr>
            <w:tcW w:w="572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Lead Independent Director</w:t>
            </w:r>
          </w:p>
        </w:tc>
        <w:tc>
          <w:tcPr>
            <w:tcW w:w="266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rPr>
              <w:t>$40,000</w:t>
            </w:r>
          </w:p>
        </w:tc>
        <w:tc>
          <w:tcPr>
            <w:tcW w:w="264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rPr>
              <w:t>$40,000</w:t>
            </w:r>
          </w:p>
        </w:tc>
      </w:tr>
      <w:tr>
        <w:trPr>
          <w:trHeight w:val="235"/>
        </w:trPr>
        <w:tc>
          <w:tcPr>
            <w:tcW w:w="5720" w:type="dxa"/>
            <w:vAlign w:val="bottom"/>
          </w:tcPr>
          <w:p>
            <w:pPr>
              <w:spacing w:after="0"/>
              <w:rPr>
                <w:sz w:val="20"/>
                <w:szCs w:val="20"/>
                <w:color w:val="auto"/>
              </w:rPr>
            </w:pPr>
            <w:r>
              <w:rPr>
                <w:rFonts w:ascii="Arial" w:cs="Arial" w:eastAsia="Arial" w:hAnsi="Arial"/>
                <w:sz w:val="14"/>
                <w:szCs w:val="14"/>
                <w:color w:val="auto"/>
              </w:rPr>
              <w:t>  Committee Chair Fees:</w:t>
            </w:r>
          </w:p>
        </w:tc>
        <w:tc>
          <w:tcPr>
            <w:tcW w:w="26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5"/>
        </w:trPr>
        <w:tc>
          <w:tcPr>
            <w:tcW w:w="57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640" w:type="dxa"/>
            <w:vAlign w:val="bottom"/>
          </w:tcPr>
          <w:p>
            <w:pPr>
              <w:spacing w:after="0"/>
              <w:rPr>
                <w:sz w:val="3"/>
                <w:szCs w:val="3"/>
                <w:color w:val="auto"/>
              </w:rPr>
            </w:pPr>
          </w:p>
        </w:tc>
      </w:tr>
      <w:tr>
        <w:trPr>
          <w:trHeight w:val="250"/>
        </w:trPr>
        <w:tc>
          <w:tcPr>
            <w:tcW w:w="5720" w:type="dxa"/>
            <w:vAlign w:val="bottom"/>
            <w:tcBorders>
              <w:bottom w:val="single" w:sz="8" w:color="D7E8F5"/>
            </w:tcBorders>
            <w:shd w:val="clear" w:color="auto" w:fill="D7E8F5"/>
          </w:tcPr>
          <w:p>
            <w:pPr>
              <w:ind w:left="280"/>
              <w:spacing w:after="0"/>
              <w:rPr>
                <w:sz w:val="20"/>
                <w:szCs w:val="20"/>
                <w:color w:val="auto"/>
              </w:rPr>
            </w:pPr>
            <w:r>
              <w:rPr>
                <w:rFonts w:ascii="Arial" w:cs="Arial" w:eastAsia="Arial" w:hAnsi="Arial"/>
                <w:sz w:val="14"/>
                <w:szCs w:val="14"/>
                <w:color w:val="auto"/>
              </w:rPr>
              <w:t> Audit</w:t>
            </w:r>
          </w:p>
        </w:tc>
        <w:tc>
          <w:tcPr>
            <w:tcW w:w="266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rPr>
              <w:t>$25,000</w:t>
            </w:r>
          </w:p>
        </w:tc>
        <w:tc>
          <w:tcPr>
            <w:tcW w:w="264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rPr>
              <w:t>$25,000</w:t>
            </w:r>
          </w:p>
        </w:tc>
      </w:tr>
      <w:tr>
        <w:trPr>
          <w:trHeight w:val="235"/>
        </w:trPr>
        <w:tc>
          <w:tcPr>
            <w:tcW w:w="5720" w:type="dxa"/>
            <w:vAlign w:val="bottom"/>
          </w:tcPr>
          <w:p>
            <w:pPr>
              <w:ind w:left="280"/>
              <w:spacing w:after="0"/>
              <w:rPr>
                <w:sz w:val="20"/>
                <w:szCs w:val="20"/>
                <w:color w:val="auto"/>
              </w:rPr>
            </w:pPr>
            <w:r>
              <w:rPr>
                <w:rFonts w:ascii="Arial" w:cs="Arial" w:eastAsia="Arial" w:hAnsi="Arial"/>
                <w:sz w:val="14"/>
                <w:szCs w:val="14"/>
                <w:color w:val="auto"/>
              </w:rPr>
              <w:t> People, Culture and Compensation</w:t>
            </w:r>
          </w:p>
        </w:tc>
        <w:tc>
          <w:tcPr>
            <w:tcW w:w="2660" w:type="dxa"/>
            <w:vAlign w:val="bottom"/>
          </w:tcPr>
          <w:p>
            <w:pPr>
              <w:jc w:val="center"/>
              <w:spacing w:after="0"/>
              <w:rPr>
                <w:sz w:val="20"/>
                <w:szCs w:val="20"/>
                <w:color w:val="auto"/>
              </w:rPr>
            </w:pPr>
            <w:r>
              <w:rPr>
                <w:rFonts w:ascii="Arial" w:cs="Arial" w:eastAsia="Arial" w:hAnsi="Arial"/>
                <w:sz w:val="14"/>
                <w:szCs w:val="14"/>
                <w:color w:val="auto"/>
              </w:rPr>
              <w:t>$20,000</w:t>
            </w:r>
          </w:p>
        </w:tc>
        <w:tc>
          <w:tcPr>
            <w:tcW w:w="2640" w:type="dxa"/>
            <w:vAlign w:val="bottom"/>
          </w:tcPr>
          <w:p>
            <w:pPr>
              <w:jc w:val="center"/>
              <w:spacing w:after="0"/>
              <w:rPr>
                <w:sz w:val="20"/>
                <w:szCs w:val="20"/>
                <w:color w:val="auto"/>
              </w:rPr>
            </w:pPr>
            <w:r>
              <w:rPr>
                <w:rFonts w:ascii="Arial" w:cs="Arial" w:eastAsia="Arial" w:hAnsi="Arial"/>
                <w:sz w:val="14"/>
                <w:szCs w:val="14"/>
                <w:color w:val="auto"/>
              </w:rPr>
              <w:t>$20,000</w:t>
            </w:r>
          </w:p>
        </w:tc>
      </w:tr>
      <w:tr>
        <w:trPr>
          <w:trHeight w:val="35"/>
        </w:trPr>
        <w:tc>
          <w:tcPr>
            <w:tcW w:w="57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640" w:type="dxa"/>
            <w:vAlign w:val="bottom"/>
          </w:tcPr>
          <w:p>
            <w:pPr>
              <w:spacing w:after="0"/>
              <w:rPr>
                <w:sz w:val="3"/>
                <w:szCs w:val="3"/>
                <w:color w:val="auto"/>
              </w:rPr>
            </w:pPr>
          </w:p>
        </w:tc>
      </w:tr>
      <w:tr>
        <w:trPr>
          <w:trHeight w:val="250"/>
        </w:trPr>
        <w:tc>
          <w:tcPr>
            <w:tcW w:w="5720" w:type="dxa"/>
            <w:vAlign w:val="bottom"/>
            <w:tcBorders>
              <w:bottom w:val="single" w:sz="8" w:color="D7E8F5"/>
            </w:tcBorders>
            <w:shd w:val="clear" w:color="auto" w:fill="D7E8F5"/>
          </w:tcPr>
          <w:p>
            <w:pPr>
              <w:ind w:left="280"/>
              <w:spacing w:after="0"/>
              <w:rPr>
                <w:sz w:val="20"/>
                <w:szCs w:val="20"/>
                <w:color w:val="auto"/>
              </w:rPr>
            </w:pPr>
            <w:r>
              <w:rPr>
                <w:rFonts w:ascii="Arial" w:cs="Arial" w:eastAsia="Arial" w:hAnsi="Arial"/>
                <w:sz w:val="14"/>
                <w:szCs w:val="14"/>
                <w:color w:val="auto"/>
              </w:rPr>
              <w:t> Nominating and Corporate Governance</w:t>
            </w:r>
          </w:p>
        </w:tc>
        <w:tc>
          <w:tcPr>
            <w:tcW w:w="266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rPr>
              <w:t>$15,000</w:t>
            </w:r>
          </w:p>
        </w:tc>
        <w:tc>
          <w:tcPr>
            <w:tcW w:w="264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i w:val="1"/>
                <w:iCs w:val="1"/>
                <w:color w:val="auto"/>
              </w:rPr>
              <w:t>$20,000</w:t>
            </w:r>
          </w:p>
        </w:tc>
      </w:tr>
      <w:tr>
        <w:trPr>
          <w:trHeight w:val="235"/>
        </w:trPr>
        <w:tc>
          <w:tcPr>
            <w:tcW w:w="5720" w:type="dxa"/>
            <w:vAlign w:val="bottom"/>
          </w:tcPr>
          <w:p>
            <w:pPr>
              <w:ind w:left="280"/>
              <w:spacing w:after="0"/>
              <w:rPr>
                <w:sz w:val="20"/>
                <w:szCs w:val="20"/>
                <w:color w:val="auto"/>
              </w:rPr>
            </w:pPr>
            <w:r>
              <w:rPr>
                <w:rFonts w:ascii="Arial" w:cs="Arial" w:eastAsia="Arial" w:hAnsi="Arial"/>
                <w:sz w:val="14"/>
                <w:szCs w:val="14"/>
                <w:color w:val="auto"/>
              </w:rPr>
              <w:t> Science and Technology</w:t>
            </w:r>
          </w:p>
        </w:tc>
        <w:tc>
          <w:tcPr>
            <w:tcW w:w="2660" w:type="dxa"/>
            <w:vAlign w:val="bottom"/>
          </w:tcPr>
          <w:p>
            <w:pPr>
              <w:jc w:val="center"/>
              <w:spacing w:after="0"/>
              <w:rPr>
                <w:sz w:val="20"/>
                <w:szCs w:val="20"/>
                <w:color w:val="auto"/>
              </w:rPr>
            </w:pPr>
            <w:r>
              <w:rPr>
                <w:rFonts w:ascii="Arial" w:cs="Arial" w:eastAsia="Arial" w:hAnsi="Arial"/>
                <w:sz w:val="14"/>
                <w:szCs w:val="14"/>
                <w:color w:val="auto"/>
              </w:rPr>
              <w:t>$15,000</w:t>
            </w:r>
          </w:p>
        </w:tc>
        <w:tc>
          <w:tcPr>
            <w:tcW w:w="2640" w:type="dxa"/>
            <w:vAlign w:val="bottom"/>
          </w:tcPr>
          <w:p>
            <w:pPr>
              <w:jc w:val="center"/>
              <w:spacing w:after="0"/>
              <w:rPr>
                <w:sz w:val="20"/>
                <w:szCs w:val="20"/>
                <w:color w:val="auto"/>
              </w:rPr>
            </w:pPr>
            <w:r>
              <w:rPr>
                <w:rFonts w:ascii="Arial" w:cs="Arial" w:eastAsia="Arial" w:hAnsi="Arial"/>
                <w:sz w:val="14"/>
                <w:szCs w:val="14"/>
                <w:i w:val="1"/>
                <w:iCs w:val="1"/>
                <w:color w:val="auto"/>
              </w:rPr>
              <w:t>$20,000</w:t>
            </w:r>
          </w:p>
        </w:tc>
      </w:tr>
      <w:tr>
        <w:trPr>
          <w:trHeight w:val="35"/>
        </w:trPr>
        <w:tc>
          <w:tcPr>
            <w:tcW w:w="57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640" w:type="dxa"/>
            <w:vAlign w:val="bottom"/>
          </w:tcPr>
          <w:p>
            <w:pPr>
              <w:spacing w:after="0"/>
              <w:rPr>
                <w:sz w:val="3"/>
                <w:szCs w:val="3"/>
                <w:color w:val="auto"/>
              </w:rPr>
            </w:pPr>
          </w:p>
        </w:tc>
      </w:tr>
      <w:tr>
        <w:trPr>
          <w:trHeight w:val="250"/>
        </w:trPr>
        <w:tc>
          <w:tcPr>
            <w:tcW w:w="572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Committee Member Fees:</w:t>
            </w:r>
          </w:p>
        </w:tc>
        <w:tc>
          <w:tcPr>
            <w:tcW w:w="2660" w:type="dxa"/>
            <w:vAlign w:val="bottom"/>
            <w:tcBorders>
              <w:bottom w:val="single" w:sz="8" w:color="D7E8F5"/>
            </w:tcBorders>
            <w:shd w:val="clear" w:color="auto" w:fill="D7E8F5"/>
          </w:tcPr>
          <w:p>
            <w:pPr>
              <w:spacing w:after="0"/>
              <w:rPr>
                <w:sz w:val="21"/>
                <w:szCs w:val="21"/>
                <w:color w:val="auto"/>
              </w:rPr>
            </w:pPr>
          </w:p>
        </w:tc>
        <w:tc>
          <w:tcPr>
            <w:tcW w:w="2640" w:type="dxa"/>
            <w:vAlign w:val="bottom"/>
            <w:tcBorders>
              <w:bottom w:val="single" w:sz="8" w:color="D7E8F5"/>
            </w:tcBorders>
            <w:shd w:val="clear" w:color="auto" w:fill="D7E8F5"/>
          </w:tcPr>
          <w:p>
            <w:pPr>
              <w:spacing w:after="0"/>
              <w:rPr>
                <w:sz w:val="21"/>
                <w:szCs w:val="21"/>
                <w:color w:val="auto"/>
              </w:rPr>
            </w:pPr>
          </w:p>
        </w:tc>
      </w:tr>
      <w:tr>
        <w:trPr>
          <w:trHeight w:val="235"/>
        </w:trPr>
        <w:tc>
          <w:tcPr>
            <w:tcW w:w="5720" w:type="dxa"/>
            <w:vAlign w:val="bottom"/>
          </w:tcPr>
          <w:p>
            <w:pPr>
              <w:ind w:left="280"/>
              <w:spacing w:after="0"/>
              <w:rPr>
                <w:sz w:val="20"/>
                <w:szCs w:val="20"/>
                <w:color w:val="auto"/>
              </w:rPr>
            </w:pPr>
            <w:r>
              <w:rPr>
                <w:rFonts w:ascii="Arial" w:cs="Arial" w:eastAsia="Arial" w:hAnsi="Arial"/>
                <w:sz w:val="14"/>
                <w:szCs w:val="14"/>
                <w:color w:val="auto"/>
              </w:rPr>
              <w:t> Audit</w:t>
            </w:r>
          </w:p>
        </w:tc>
        <w:tc>
          <w:tcPr>
            <w:tcW w:w="2660" w:type="dxa"/>
            <w:vAlign w:val="bottom"/>
          </w:tcPr>
          <w:p>
            <w:pPr>
              <w:jc w:val="center"/>
              <w:spacing w:after="0"/>
              <w:rPr>
                <w:sz w:val="20"/>
                <w:szCs w:val="20"/>
                <w:color w:val="auto"/>
              </w:rPr>
            </w:pPr>
            <w:r>
              <w:rPr>
                <w:rFonts w:ascii="Arial" w:cs="Arial" w:eastAsia="Arial" w:hAnsi="Arial"/>
                <w:sz w:val="14"/>
                <w:szCs w:val="14"/>
                <w:color w:val="auto"/>
              </w:rPr>
              <w:t>$12,500</w:t>
            </w:r>
          </w:p>
        </w:tc>
        <w:tc>
          <w:tcPr>
            <w:tcW w:w="2640" w:type="dxa"/>
            <w:vAlign w:val="bottom"/>
          </w:tcPr>
          <w:p>
            <w:pPr>
              <w:jc w:val="center"/>
              <w:spacing w:after="0"/>
              <w:rPr>
                <w:sz w:val="20"/>
                <w:szCs w:val="20"/>
                <w:color w:val="auto"/>
              </w:rPr>
            </w:pPr>
            <w:r>
              <w:rPr>
                <w:rFonts w:ascii="Arial" w:cs="Arial" w:eastAsia="Arial" w:hAnsi="Arial"/>
                <w:sz w:val="14"/>
                <w:szCs w:val="14"/>
                <w:color w:val="auto"/>
              </w:rPr>
              <w:t>$12,500</w:t>
            </w:r>
          </w:p>
        </w:tc>
      </w:tr>
      <w:tr>
        <w:trPr>
          <w:trHeight w:val="35"/>
        </w:trPr>
        <w:tc>
          <w:tcPr>
            <w:tcW w:w="57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640" w:type="dxa"/>
            <w:vAlign w:val="bottom"/>
          </w:tcPr>
          <w:p>
            <w:pPr>
              <w:spacing w:after="0"/>
              <w:rPr>
                <w:sz w:val="3"/>
                <w:szCs w:val="3"/>
                <w:color w:val="auto"/>
              </w:rPr>
            </w:pPr>
          </w:p>
        </w:tc>
      </w:tr>
      <w:tr>
        <w:trPr>
          <w:trHeight w:val="250"/>
        </w:trPr>
        <w:tc>
          <w:tcPr>
            <w:tcW w:w="5720" w:type="dxa"/>
            <w:vAlign w:val="bottom"/>
            <w:tcBorders>
              <w:bottom w:val="single" w:sz="8" w:color="D7E8F5"/>
            </w:tcBorders>
            <w:shd w:val="clear" w:color="auto" w:fill="D7E8F5"/>
          </w:tcPr>
          <w:p>
            <w:pPr>
              <w:ind w:left="280"/>
              <w:spacing w:after="0"/>
              <w:rPr>
                <w:sz w:val="20"/>
                <w:szCs w:val="20"/>
                <w:color w:val="auto"/>
              </w:rPr>
            </w:pPr>
            <w:r>
              <w:rPr>
                <w:rFonts w:ascii="Arial" w:cs="Arial" w:eastAsia="Arial" w:hAnsi="Arial"/>
                <w:sz w:val="14"/>
                <w:szCs w:val="14"/>
                <w:color w:val="auto"/>
              </w:rPr>
              <w:t> People, Culture and Compensation</w:t>
            </w:r>
          </w:p>
        </w:tc>
        <w:tc>
          <w:tcPr>
            <w:tcW w:w="266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rPr>
              <w:t>$10,000</w:t>
            </w:r>
          </w:p>
        </w:tc>
        <w:tc>
          <w:tcPr>
            <w:tcW w:w="264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rPr>
              <w:t>$10,000</w:t>
            </w:r>
          </w:p>
        </w:tc>
      </w:tr>
      <w:tr>
        <w:trPr>
          <w:trHeight w:val="235"/>
        </w:trPr>
        <w:tc>
          <w:tcPr>
            <w:tcW w:w="5720" w:type="dxa"/>
            <w:vAlign w:val="bottom"/>
          </w:tcPr>
          <w:p>
            <w:pPr>
              <w:ind w:left="280"/>
              <w:spacing w:after="0"/>
              <w:rPr>
                <w:sz w:val="20"/>
                <w:szCs w:val="20"/>
                <w:color w:val="auto"/>
              </w:rPr>
            </w:pPr>
            <w:r>
              <w:rPr>
                <w:rFonts w:ascii="Arial" w:cs="Arial" w:eastAsia="Arial" w:hAnsi="Arial"/>
                <w:sz w:val="14"/>
                <w:szCs w:val="14"/>
                <w:color w:val="auto"/>
              </w:rPr>
              <w:t> Nominating and Corporate Governance</w:t>
            </w:r>
          </w:p>
        </w:tc>
        <w:tc>
          <w:tcPr>
            <w:tcW w:w="2660" w:type="dxa"/>
            <w:vAlign w:val="bottom"/>
          </w:tcPr>
          <w:p>
            <w:pPr>
              <w:jc w:val="center"/>
              <w:spacing w:after="0"/>
              <w:rPr>
                <w:sz w:val="20"/>
                <w:szCs w:val="20"/>
                <w:color w:val="auto"/>
              </w:rPr>
            </w:pPr>
            <w:r>
              <w:rPr>
                <w:rFonts w:ascii="Arial" w:cs="Arial" w:eastAsia="Arial" w:hAnsi="Arial"/>
                <w:sz w:val="14"/>
                <w:szCs w:val="14"/>
                <w:color w:val="auto"/>
              </w:rPr>
              <w:t>$7,500</w:t>
            </w:r>
          </w:p>
        </w:tc>
        <w:tc>
          <w:tcPr>
            <w:tcW w:w="2640" w:type="dxa"/>
            <w:vAlign w:val="bottom"/>
          </w:tcPr>
          <w:p>
            <w:pPr>
              <w:jc w:val="center"/>
              <w:spacing w:after="0"/>
              <w:rPr>
                <w:sz w:val="20"/>
                <w:szCs w:val="20"/>
                <w:color w:val="auto"/>
              </w:rPr>
            </w:pPr>
            <w:r>
              <w:rPr>
                <w:rFonts w:ascii="Arial" w:cs="Arial" w:eastAsia="Arial" w:hAnsi="Arial"/>
                <w:sz w:val="14"/>
                <w:szCs w:val="14"/>
                <w:i w:val="1"/>
                <w:iCs w:val="1"/>
                <w:color w:val="auto"/>
              </w:rPr>
              <w:t>$10,000</w:t>
            </w:r>
          </w:p>
        </w:tc>
      </w:tr>
      <w:tr>
        <w:trPr>
          <w:trHeight w:val="35"/>
        </w:trPr>
        <w:tc>
          <w:tcPr>
            <w:tcW w:w="57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640" w:type="dxa"/>
            <w:vAlign w:val="bottom"/>
          </w:tcPr>
          <w:p>
            <w:pPr>
              <w:spacing w:after="0"/>
              <w:rPr>
                <w:sz w:val="3"/>
                <w:szCs w:val="3"/>
                <w:color w:val="auto"/>
              </w:rPr>
            </w:pPr>
          </w:p>
        </w:tc>
      </w:tr>
      <w:tr>
        <w:trPr>
          <w:trHeight w:val="250"/>
        </w:trPr>
        <w:tc>
          <w:tcPr>
            <w:tcW w:w="5720" w:type="dxa"/>
            <w:vAlign w:val="bottom"/>
            <w:tcBorders>
              <w:bottom w:val="single" w:sz="8" w:color="D7E8F5"/>
            </w:tcBorders>
            <w:shd w:val="clear" w:color="auto" w:fill="D7E8F5"/>
          </w:tcPr>
          <w:p>
            <w:pPr>
              <w:ind w:left="280"/>
              <w:spacing w:after="0"/>
              <w:rPr>
                <w:sz w:val="20"/>
                <w:szCs w:val="20"/>
                <w:color w:val="auto"/>
              </w:rPr>
            </w:pPr>
            <w:r>
              <w:rPr>
                <w:rFonts w:ascii="Arial" w:cs="Arial" w:eastAsia="Arial" w:hAnsi="Arial"/>
                <w:sz w:val="14"/>
                <w:szCs w:val="14"/>
                <w:color w:val="auto"/>
              </w:rPr>
              <w:t> Science and Technology</w:t>
            </w:r>
          </w:p>
        </w:tc>
        <w:tc>
          <w:tcPr>
            <w:tcW w:w="266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rPr>
              <w:t>$7,500</w:t>
            </w:r>
          </w:p>
        </w:tc>
        <w:tc>
          <w:tcPr>
            <w:tcW w:w="264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i w:val="1"/>
                <w:iCs w:val="1"/>
                <w:color w:val="auto"/>
              </w:rPr>
              <w:t>$10,000</w:t>
            </w:r>
          </w:p>
        </w:tc>
      </w:tr>
      <w:tr>
        <w:trPr>
          <w:trHeight w:val="235"/>
        </w:trPr>
        <w:tc>
          <w:tcPr>
            <w:tcW w:w="5720" w:type="dxa"/>
            <w:vAlign w:val="bottom"/>
          </w:tcPr>
          <w:p>
            <w:pPr>
              <w:spacing w:after="0"/>
              <w:rPr>
                <w:sz w:val="20"/>
                <w:szCs w:val="20"/>
                <w:color w:val="auto"/>
              </w:rPr>
            </w:pPr>
            <w:r>
              <w:rPr>
                <w:rFonts w:ascii="Arial" w:cs="Arial" w:eastAsia="Arial" w:hAnsi="Arial"/>
                <w:sz w:val="14"/>
                <w:szCs w:val="14"/>
                <w:color w:val="auto"/>
              </w:rPr>
              <w:t>  Initial Stock Option Award (vests ratably in three annual installments)</w:t>
            </w:r>
          </w:p>
        </w:tc>
        <w:tc>
          <w:tcPr>
            <w:tcW w:w="2660" w:type="dxa"/>
            <w:vAlign w:val="bottom"/>
          </w:tcPr>
          <w:p>
            <w:pPr>
              <w:jc w:val="center"/>
              <w:spacing w:after="0"/>
              <w:rPr>
                <w:sz w:val="20"/>
                <w:szCs w:val="20"/>
                <w:color w:val="auto"/>
              </w:rPr>
            </w:pPr>
            <w:r>
              <w:rPr>
                <w:rFonts w:ascii="Arial" w:cs="Arial" w:eastAsia="Arial" w:hAnsi="Arial"/>
                <w:sz w:val="14"/>
                <w:szCs w:val="14"/>
                <w:color w:val="auto"/>
              </w:rPr>
              <w:t>$600,000 grant-date fair value**</w:t>
            </w:r>
          </w:p>
        </w:tc>
        <w:tc>
          <w:tcPr>
            <w:tcW w:w="2640" w:type="dxa"/>
            <w:vAlign w:val="bottom"/>
          </w:tcPr>
          <w:p>
            <w:pPr>
              <w:jc w:val="center"/>
              <w:spacing w:after="0"/>
              <w:rPr>
                <w:sz w:val="20"/>
                <w:szCs w:val="20"/>
                <w:color w:val="auto"/>
              </w:rPr>
            </w:pPr>
            <w:r>
              <w:rPr>
                <w:rFonts w:ascii="Arial" w:cs="Arial" w:eastAsia="Arial" w:hAnsi="Arial"/>
                <w:sz w:val="14"/>
                <w:szCs w:val="14"/>
                <w:color w:val="auto"/>
              </w:rPr>
              <w:t>$600,000 grant-date fair value**</w:t>
            </w:r>
          </w:p>
        </w:tc>
      </w:tr>
      <w:tr>
        <w:trPr>
          <w:trHeight w:val="35"/>
        </w:trPr>
        <w:tc>
          <w:tcPr>
            <w:tcW w:w="57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640" w:type="dxa"/>
            <w:vAlign w:val="bottom"/>
          </w:tcPr>
          <w:p>
            <w:pPr>
              <w:spacing w:after="0"/>
              <w:rPr>
                <w:sz w:val="3"/>
                <w:szCs w:val="3"/>
                <w:color w:val="auto"/>
              </w:rPr>
            </w:pPr>
          </w:p>
        </w:tc>
      </w:tr>
      <w:tr>
        <w:trPr>
          <w:trHeight w:val="250"/>
        </w:trPr>
        <w:tc>
          <w:tcPr>
            <w:tcW w:w="572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Annual Stock Option Award (vests on one-year anniversary)*</w:t>
            </w:r>
          </w:p>
        </w:tc>
        <w:tc>
          <w:tcPr>
            <w:tcW w:w="266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rPr>
              <w:t>$400,000 grant-date fair value**</w:t>
            </w:r>
          </w:p>
        </w:tc>
        <w:tc>
          <w:tcPr>
            <w:tcW w:w="264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rPr>
              <w:t>$400,000 grant-date fair value**</w:t>
            </w:r>
          </w:p>
        </w:tc>
      </w:tr>
      <w:tr>
        <w:trPr>
          <w:trHeight w:val="20"/>
        </w:trPr>
        <w:tc>
          <w:tcPr>
            <w:tcW w:w="5720" w:type="dxa"/>
            <w:vAlign w:val="bottom"/>
            <w:shd w:val="clear" w:color="auto" w:fill="2275B5"/>
          </w:tcPr>
          <w:p>
            <w:pPr>
              <w:spacing w:after="0" w:line="20" w:lineRule="exact"/>
              <w:rPr>
                <w:sz w:val="1"/>
                <w:szCs w:val="1"/>
                <w:color w:val="auto"/>
              </w:rPr>
            </w:pPr>
          </w:p>
        </w:tc>
        <w:tc>
          <w:tcPr>
            <w:tcW w:w="2660" w:type="dxa"/>
            <w:vAlign w:val="bottom"/>
            <w:shd w:val="clear" w:color="auto" w:fill="2275B5"/>
          </w:tcPr>
          <w:p>
            <w:pPr>
              <w:spacing w:after="0" w:line="20" w:lineRule="exact"/>
              <w:rPr>
                <w:sz w:val="1"/>
                <w:szCs w:val="1"/>
                <w:color w:val="auto"/>
              </w:rPr>
            </w:pPr>
          </w:p>
        </w:tc>
        <w:tc>
          <w:tcPr>
            <w:tcW w:w="2640" w:type="dxa"/>
            <w:vAlign w:val="bottom"/>
            <w:shd w:val="clear" w:color="auto" w:fill="2275B5"/>
          </w:tcPr>
          <w:p>
            <w:pPr>
              <w:spacing w:after="0" w:line="20" w:lineRule="exact"/>
              <w:rPr>
                <w:sz w:val="1"/>
                <w:szCs w:val="1"/>
                <w:color w:val="auto"/>
              </w:rPr>
            </w:pPr>
          </w:p>
        </w:tc>
      </w:tr>
    </w:tbl>
    <w:p>
      <w:pPr>
        <w:ind w:left="540" w:right="240" w:hanging="424"/>
        <w:spacing w:after="0"/>
        <w:tabs>
          <w:tab w:leader="none" w:pos="198" w:val="left"/>
        </w:tabs>
        <w:numPr>
          <w:ilvl w:val="0"/>
          <w:numId w:val="22"/>
        </w:numPr>
        <w:rPr>
          <w:rFonts w:ascii="Arial" w:cs="Arial" w:eastAsia="Arial" w:hAnsi="Arial"/>
          <w:sz w:val="14"/>
          <w:szCs w:val="14"/>
          <w:color w:val="auto"/>
        </w:rPr>
      </w:pPr>
      <w:r>
        <w:rPr>
          <w:rFonts w:ascii="Arial" w:cs="Arial" w:eastAsia="Arial" w:hAnsi="Arial"/>
          <w:sz w:val="14"/>
          <w:szCs w:val="14"/>
          <w:color w:val="auto"/>
        </w:rPr>
        <w:t>* Each non-employee director is generally eligible for an annual stock option award beginning in the sixth month following his or her election to our board.</w:t>
      </w:r>
    </w:p>
    <w:p>
      <w:pPr>
        <w:spacing w:after="0" w:line="218" w:lineRule="exact"/>
        <w:rPr>
          <w:rFonts w:ascii="Arial" w:cs="Arial" w:eastAsia="Arial" w:hAnsi="Arial"/>
          <w:sz w:val="14"/>
          <w:szCs w:val="14"/>
          <w:color w:val="auto"/>
        </w:rPr>
      </w:pPr>
    </w:p>
    <w:p>
      <w:pPr>
        <w:ind w:left="540" w:right="120" w:hanging="424"/>
        <w:spacing w:after="0" w:line="309" w:lineRule="auto"/>
        <w:tabs>
          <w:tab w:leader="none" w:pos="198" w:val="left"/>
        </w:tabs>
        <w:numPr>
          <w:ilvl w:val="0"/>
          <w:numId w:val="22"/>
        </w:numPr>
        <w:rPr>
          <w:rFonts w:ascii="Arial" w:cs="Arial" w:eastAsia="Arial" w:hAnsi="Arial"/>
          <w:sz w:val="14"/>
          <w:szCs w:val="14"/>
          <w:color w:val="auto"/>
        </w:rPr>
      </w:pPr>
      <w:r>
        <w:rPr>
          <w:rFonts w:ascii="Arial" w:cs="Arial" w:eastAsia="Arial" w:hAnsi="Arial"/>
          <w:sz w:val="14"/>
          <w:szCs w:val="14"/>
          <w:color w:val="auto"/>
        </w:rPr>
        <w:t>** Actual number of non-qualified stock options awarded will be determined on date of grant by dividing the value of the award by the closing price of our common stock on the Nasdaq Global Select Market on such date, further divided by the Black Scholes factor in use at such time. The exercise price of such stock option awards is equal to the closing price of our common stock on the Nasdaq Global Select Market on the date of grant.</w:t>
      </w:r>
    </w:p>
    <w:p>
      <w:pPr>
        <w:spacing w:after="0" w:line="138" w:lineRule="exact"/>
        <w:rPr>
          <w:sz w:val="20"/>
          <w:szCs w:val="20"/>
          <w:color w:val="auto"/>
        </w:rPr>
      </w:pPr>
    </w:p>
    <w:p>
      <w:pPr>
        <w:ind w:left="120" w:right="160" w:firstLine="771"/>
        <w:spacing w:after="0" w:line="260" w:lineRule="auto"/>
        <w:rPr>
          <w:sz w:val="20"/>
          <w:szCs w:val="20"/>
          <w:color w:val="auto"/>
        </w:rPr>
      </w:pPr>
      <w:r>
        <w:rPr>
          <w:rFonts w:ascii="Arial" w:cs="Arial" w:eastAsia="Arial" w:hAnsi="Arial"/>
          <w:sz w:val="19"/>
          <w:szCs w:val="19"/>
          <w:color w:val="auto"/>
        </w:rPr>
        <w:t>Our board may, in its discretion, increase or decrease the size of the stock option award made to a non-employee director upon election or in connection with the annual stock option award or make other equity awards to our non-employee directors, subject to the limitations contained in our Amended and Restated 2018 Stock Incentive Plan, or the 2018 Plan.</w:t>
      </w:r>
    </w:p>
    <w:p>
      <w:pPr>
        <w:spacing w:after="0" w:line="154" w:lineRule="exact"/>
        <w:rPr>
          <w:sz w:val="20"/>
          <w:szCs w:val="20"/>
          <w:color w:val="auto"/>
        </w:rPr>
      </w:pPr>
    </w:p>
    <w:p>
      <w:pPr>
        <w:ind w:left="120" w:right="340" w:firstLine="771"/>
        <w:spacing w:after="0" w:line="234" w:lineRule="auto"/>
        <w:rPr>
          <w:sz w:val="20"/>
          <w:szCs w:val="20"/>
          <w:color w:val="auto"/>
        </w:rPr>
      </w:pPr>
      <w:r>
        <w:rPr>
          <w:rFonts w:ascii="Arial" w:cs="Arial" w:eastAsia="Arial" w:hAnsi="Arial"/>
          <w:sz w:val="20"/>
          <w:szCs w:val="20"/>
          <w:color w:val="auto"/>
        </w:rPr>
        <w:t>Pursuant to the 2018 Plan, the maximum aggregate value for initial and annual non-employee director compensation, including the value of the shares of common stock that may be subject to initial or annual equity awards to non-employee directors, is equal to $1.5 million and $1.0 million, respectively. As indicated in the table above, our current practice is to deliver aggregate compensation to our non-employee directors in amounts well under these aggregate limits, and we do not expect to change our current practice.</w:t>
      </w:r>
    </w:p>
    <w:p>
      <w:pPr>
        <w:spacing w:after="0" w:line="175" w:lineRule="exact"/>
        <w:rPr>
          <w:sz w:val="20"/>
          <w:szCs w:val="20"/>
          <w:color w:val="auto"/>
        </w:rPr>
      </w:pPr>
    </w:p>
    <w:p>
      <w:pPr>
        <w:ind w:left="120" w:right="300" w:firstLine="771"/>
        <w:spacing w:after="0" w:line="257" w:lineRule="auto"/>
        <w:rPr>
          <w:sz w:val="20"/>
          <w:szCs w:val="20"/>
          <w:color w:val="auto"/>
        </w:rPr>
      </w:pPr>
      <w:r>
        <w:rPr>
          <w:rFonts w:ascii="Arial" w:cs="Arial" w:eastAsia="Arial" w:hAnsi="Arial"/>
          <w:sz w:val="20"/>
          <w:szCs w:val="20"/>
          <w:color w:val="auto"/>
        </w:rPr>
        <w:t>We also reimburse our directors for reasonable travel and other related expenses incurred in connection with their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The following table sets forth information concerning the compensation of our non-employee directors in 2023:</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D3060"/>
        </w:rPr>
        <w:t>Director Compensation</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369"/>
        </w:trPr>
        <w:tc>
          <w:tcPr>
            <w:tcW w:w="4580" w:type="dxa"/>
            <w:vAlign w:val="bottom"/>
            <w:shd w:val="clear" w:color="auto" w:fill="1D3060"/>
          </w:tcPr>
          <w:p>
            <w:pPr>
              <w:spacing w:after="0"/>
              <w:rPr>
                <w:sz w:val="24"/>
                <w:szCs w:val="24"/>
                <w:color w:val="auto"/>
              </w:rPr>
            </w:pPr>
          </w:p>
        </w:tc>
        <w:tc>
          <w:tcPr>
            <w:tcW w:w="1920" w:type="dxa"/>
            <w:vAlign w:val="bottom"/>
            <w:shd w:val="clear" w:color="auto" w:fill="1D3060"/>
          </w:tcPr>
          <w:p>
            <w:pPr>
              <w:jc w:val="center"/>
              <w:ind w:left="88"/>
              <w:spacing w:after="0"/>
              <w:rPr>
                <w:sz w:val="20"/>
                <w:szCs w:val="20"/>
                <w:color w:val="auto"/>
              </w:rPr>
            </w:pPr>
            <w:r>
              <w:rPr>
                <w:rFonts w:ascii="Arial" w:cs="Arial" w:eastAsia="Arial" w:hAnsi="Arial"/>
                <w:sz w:val="14"/>
                <w:szCs w:val="14"/>
                <w:b w:val="1"/>
                <w:bCs w:val="1"/>
                <w:color w:val="FFFFFF"/>
              </w:rPr>
              <w:t>Fees Earned or</w:t>
            </w:r>
          </w:p>
        </w:tc>
        <w:tc>
          <w:tcPr>
            <w:tcW w:w="1780" w:type="dxa"/>
            <w:vAlign w:val="bottom"/>
            <w:shd w:val="clear" w:color="auto" w:fill="1D3060"/>
          </w:tcPr>
          <w:p>
            <w:pPr>
              <w:spacing w:after="0"/>
              <w:rPr>
                <w:sz w:val="24"/>
                <w:szCs w:val="24"/>
                <w:color w:val="auto"/>
              </w:rPr>
            </w:pPr>
          </w:p>
        </w:tc>
        <w:tc>
          <w:tcPr>
            <w:tcW w:w="172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All Other</w:t>
            </w:r>
          </w:p>
        </w:tc>
        <w:tc>
          <w:tcPr>
            <w:tcW w:w="1020" w:type="dxa"/>
            <w:vAlign w:val="bottom"/>
            <w:shd w:val="clear" w:color="auto" w:fill="1D3060"/>
          </w:tcPr>
          <w:p>
            <w:pPr>
              <w:spacing w:after="0"/>
              <w:rPr>
                <w:sz w:val="24"/>
                <w:szCs w:val="24"/>
                <w:color w:val="auto"/>
              </w:rPr>
            </w:pPr>
          </w:p>
        </w:tc>
      </w:tr>
      <w:tr>
        <w:trPr>
          <w:trHeight w:val="162"/>
        </w:trPr>
        <w:tc>
          <w:tcPr>
            <w:tcW w:w="4580" w:type="dxa"/>
            <w:vAlign w:val="bottom"/>
            <w:shd w:val="clear" w:color="auto" w:fill="1D3060"/>
          </w:tcPr>
          <w:p>
            <w:pPr>
              <w:spacing w:after="0"/>
              <w:rPr>
                <w:sz w:val="14"/>
                <w:szCs w:val="14"/>
                <w:color w:val="auto"/>
              </w:rPr>
            </w:pPr>
          </w:p>
        </w:tc>
        <w:tc>
          <w:tcPr>
            <w:tcW w:w="1920" w:type="dxa"/>
            <w:vAlign w:val="bottom"/>
            <w:shd w:val="clear" w:color="auto" w:fill="1D3060"/>
          </w:tcPr>
          <w:p>
            <w:pPr>
              <w:jc w:val="center"/>
              <w:ind w:left="108"/>
              <w:spacing w:after="0"/>
              <w:rPr>
                <w:sz w:val="20"/>
                <w:szCs w:val="20"/>
                <w:color w:val="auto"/>
              </w:rPr>
            </w:pPr>
            <w:r>
              <w:rPr>
                <w:rFonts w:ascii="Arial" w:cs="Arial" w:eastAsia="Arial" w:hAnsi="Arial"/>
                <w:sz w:val="14"/>
                <w:szCs w:val="14"/>
                <w:b w:val="1"/>
                <w:bCs w:val="1"/>
                <w:color w:val="FFFFFF"/>
              </w:rPr>
              <w:t>Paid in Cash</w:t>
            </w:r>
          </w:p>
        </w:tc>
        <w:tc>
          <w:tcPr>
            <w:tcW w:w="1780" w:type="dxa"/>
            <w:vAlign w:val="bottom"/>
            <w:shd w:val="clear" w:color="auto" w:fill="1D3060"/>
          </w:tcPr>
          <w:p>
            <w:pPr>
              <w:ind w:left="380"/>
              <w:spacing w:after="0"/>
              <w:rPr>
                <w:sz w:val="20"/>
                <w:szCs w:val="20"/>
                <w:color w:val="auto"/>
              </w:rPr>
            </w:pPr>
            <w:r>
              <w:rPr>
                <w:rFonts w:ascii="Arial" w:cs="Arial" w:eastAsia="Arial" w:hAnsi="Arial"/>
                <w:sz w:val="14"/>
                <w:szCs w:val="14"/>
                <w:b w:val="1"/>
                <w:bCs w:val="1"/>
                <w:color w:val="FFFFFF"/>
              </w:rPr>
              <w:t>Option Awards</w:t>
            </w:r>
          </w:p>
        </w:tc>
        <w:tc>
          <w:tcPr>
            <w:tcW w:w="172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1D3060"/>
          </w:tcPr>
          <w:p>
            <w:pPr>
              <w:jc w:val="right"/>
              <w:ind w:right="228"/>
              <w:spacing w:after="0"/>
              <w:rPr>
                <w:sz w:val="20"/>
                <w:szCs w:val="20"/>
                <w:color w:val="auto"/>
              </w:rPr>
            </w:pPr>
            <w:r>
              <w:rPr>
                <w:rFonts w:ascii="Arial" w:cs="Arial" w:eastAsia="Arial" w:hAnsi="Arial"/>
                <w:sz w:val="14"/>
                <w:szCs w:val="14"/>
                <w:b w:val="1"/>
                <w:bCs w:val="1"/>
                <w:color w:val="FFFFFF"/>
              </w:rPr>
              <w:t>Total</w:t>
            </w:r>
          </w:p>
        </w:tc>
      </w:tr>
      <w:tr>
        <w:trPr>
          <w:trHeight w:val="219"/>
        </w:trPr>
        <w:tc>
          <w:tcPr>
            <w:tcW w:w="4580" w:type="dxa"/>
            <w:vAlign w:val="bottom"/>
            <w:tcBorders>
              <w:bottom w:val="single" w:sz="8" w:color="1D3060"/>
            </w:tcBorders>
            <w:shd w:val="clear" w:color="auto" w:fill="1D3060"/>
          </w:tcPr>
          <w:p>
            <w:pPr>
              <w:spacing w:after="0"/>
              <w:rPr>
                <w:sz w:val="20"/>
                <w:szCs w:val="20"/>
                <w:color w:val="auto"/>
              </w:rPr>
            </w:pPr>
            <w:r>
              <w:rPr>
                <w:rFonts w:ascii="Arial" w:cs="Arial" w:eastAsia="Arial" w:hAnsi="Arial"/>
                <w:sz w:val="14"/>
                <w:szCs w:val="14"/>
                <w:b w:val="1"/>
                <w:bCs w:val="1"/>
                <w:color w:val="FFFFFF"/>
              </w:rPr>
              <w:t> Name</w:t>
            </w:r>
          </w:p>
        </w:tc>
        <w:tc>
          <w:tcPr>
            <w:tcW w:w="1920" w:type="dxa"/>
            <w:vAlign w:val="bottom"/>
            <w:tcBorders>
              <w:bottom w:val="single" w:sz="8" w:color="1D3060"/>
            </w:tcBorders>
            <w:shd w:val="clear" w:color="auto" w:fill="1D3060"/>
          </w:tcPr>
          <w:p>
            <w:pPr>
              <w:jc w:val="center"/>
              <w:ind w:left="108"/>
              <w:spacing w:after="0"/>
              <w:rPr>
                <w:sz w:val="20"/>
                <w:szCs w:val="20"/>
                <w:color w:val="auto"/>
              </w:rPr>
            </w:pPr>
            <w:r>
              <w:rPr>
                <w:rFonts w:ascii="Arial" w:cs="Arial" w:eastAsia="Arial" w:hAnsi="Arial"/>
                <w:sz w:val="14"/>
                <w:szCs w:val="14"/>
                <w:b w:val="1"/>
                <w:bCs w:val="1"/>
                <w:color w:val="FFFFFF"/>
              </w:rPr>
              <w:t>($)</w:t>
            </w:r>
          </w:p>
        </w:tc>
        <w:tc>
          <w:tcPr>
            <w:tcW w:w="1780" w:type="dxa"/>
            <w:vAlign w:val="bottom"/>
            <w:tcBorders>
              <w:bottom w:val="single" w:sz="8" w:color="1D3060"/>
            </w:tcBorders>
            <w:shd w:val="clear" w:color="auto" w:fill="1D3060"/>
          </w:tcPr>
          <w:p>
            <w:pPr>
              <w:ind w:left="620"/>
              <w:spacing w:after="0"/>
              <w:rPr>
                <w:sz w:val="20"/>
                <w:szCs w:val="20"/>
                <w:color w:val="auto"/>
              </w:rPr>
            </w:pPr>
            <w:r>
              <w:rPr>
                <w:rFonts w:ascii="Arial" w:cs="Arial" w:eastAsia="Arial" w:hAnsi="Arial"/>
                <w:sz w:val="14"/>
                <w:szCs w:val="14"/>
                <w:b w:val="1"/>
                <w:bCs w:val="1"/>
                <w:color w:val="FFFFFF"/>
              </w:rPr>
              <w:t>($)(1)(2)</w:t>
            </w:r>
          </w:p>
        </w:tc>
        <w:tc>
          <w:tcPr>
            <w:tcW w:w="172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1D3060"/>
            </w:tcBorders>
            <w:shd w:val="clear" w:color="auto" w:fill="1D3060"/>
          </w:tcPr>
          <w:p>
            <w:pPr>
              <w:jc w:val="right"/>
              <w:ind w:right="288"/>
              <w:spacing w:after="0"/>
              <w:rPr>
                <w:sz w:val="20"/>
                <w:szCs w:val="20"/>
                <w:color w:val="auto"/>
              </w:rPr>
            </w:pPr>
            <w:r>
              <w:rPr>
                <w:rFonts w:ascii="Arial" w:cs="Arial" w:eastAsia="Arial" w:hAnsi="Arial"/>
                <w:sz w:val="14"/>
                <w:szCs w:val="14"/>
                <w:b w:val="1"/>
                <w:bCs w:val="1"/>
                <w:color w:val="FFFFFF"/>
              </w:rPr>
              <w:t>($)</w:t>
            </w:r>
          </w:p>
        </w:tc>
      </w:tr>
      <w:tr>
        <w:trPr>
          <w:trHeight w:val="250"/>
        </w:trPr>
        <w:tc>
          <w:tcPr>
            <w:tcW w:w="45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Dennis A. Ausiello, M.D.</w:t>
            </w:r>
          </w:p>
        </w:tc>
        <w:tc>
          <w:tcPr>
            <w:tcW w:w="1920" w:type="dxa"/>
            <w:vAlign w:val="bottom"/>
            <w:tcBorders>
              <w:bottom w:val="single" w:sz="8" w:color="D7E8F5"/>
            </w:tcBorders>
            <w:shd w:val="clear" w:color="auto" w:fill="D7E8F5"/>
          </w:tcPr>
          <w:p>
            <w:pPr>
              <w:jc w:val="right"/>
              <w:ind w:right="528"/>
              <w:spacing w:after="0"/>
              <w:rPr>
                <w:sz w:val="20"/>
                <w:szCs w:val="20"/>
                <w:color w:val="auto"/>
              </w:rPr>
            </w:pPr>
            <w:r>
              <w:rPr>
                <w:rFonts w:ascii="Arial" w:cs="Arial" w:eastAsia="Arial" w:hAnsi="Arial"/>
                <w:sz w:val="14"/>
                <w:szCs w:val="14"/>
                <w:color w:val="auto"/>
              </w:rPr>
              <w:t>77,500</w:t>
            </w:r>
          </w:p>
        </w:tc>
        <w:tc>
          <w:tcPr>
            <w:tcW w:w="1780" w:type="dxa"/>
            <w:vAlign w:val="bottom"/>
            <w:tcBorders>
              <w:bottom w:val="single" w:sz="8" w:color="D7E8F5"/>
            </w:tcBorders>
            <w:shd w:val="clear" w:color="auto" w:fill="D7E8F5"/>
          </w:tcPr>
          <w:p>
            <w:pPr>
              <w:ind w:left="640"/>
              <w:spacing w:after="0"/>
              <w:rPr>
                <w:sz w:val="20"/>
                <w:szCs w:val="20"/>
                <w:color w:val="auto"/>
              </w:rPr>
            </w:pPr>
            <w:r>
              <w:rPr>
                <w:rFonts w:ascii="Arial" w:cs="Arial" w:eastAsia="Arial" w:hAnsi="Arial"/>
                <w:sz w:val="14"/>
                <w:szCs w:val="14"/>
                <w:color w:val="auto"/>
              </w:rPr>
              <w:t>399,710</w:t>
            </w:r>
          </w:p>
        </w:tc>
        <w:tc>
          <w:tcPr>
            <w:tcW w:w="1720" w:type="dxa"/>
            <w:vAlign w:val="bottom"/>
            <w:tcBorders>
              <w:bottom w:val="single" w:sz="8" w:color="D7E8F5"/>
            </w:tcBorders>
            <w:shd w:val="clear" w:color="auto" w:fill="D7E8F5"/>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477,210</w:t>
            </w:r>
          </w:p>
        </w:tc>
      </w:tr>
      <w:tr>
        <w:trPr>
          <w:trHeight w:val="235"/>
        </w:trPr>
        <w:tc>
          <w:tcPr>
            <w:tcW w:w="4580" w:type="dxa"/>
            <w:vAlign w:val="bottom"/>
          </w:tcPr>
          <w:p>
            <w:pPr>
              <w:spacing w:after="0"/>
              <w:rPr>
                <w:sz w:val="20"/>
                <w:szCs w:val="20"/>
                <w:color w:val="auto"/>
              </w:rPr>
            </w:pPr>
            <w:r>
              <w:rPr>
                <w:rFonts w:ascii="Arial" w:cs="Arial" w:eastAsia="Arial" w:hAnsi="Arial"/>
                <w:sz w:val="14"/>
                <w:szCs w:val="14"/>
                <w:color w:val="auto"/>
              </w:rPr>
              <w:t> Carolyn R. Bertozzi, Ph.D.(3)</w:t>
            </w:r>
          </w:p>
        </w:tc>
        <w:tc>
          <w:tcPr>
            <w:tcW w:w="1920" w:type="dxa"/>
            <w:vAlign w:val="bottom"/>
          </w:tcPr>
          <w:p>
            <w:pPr>
              <w:jc w:val="right"/>
              <w:ind w:right="528"/>
              <w:spacing w:after="0"/>
              <w:rPr>
                <w:sz w:val="20"/>
                <w:szCs w:val="20"/>
                <w:color w:val="auto"/>
              </w:rPr>
            </w:pPr>
            <w:r>
              <w:rPr>
                <w:rFonts w:ascii="Arial" w:cs="Arial" w:eastAsia="Arial" w:hAnsi="Arial"/>
                <w:sz w:val="14"/>
                <w:szCs w:val="14"/>
                <w:color w:val="auto"/>
              </w:rPr>
              <w:t>69,944</w:t>
            </w:r>
          </w:p>
        </w:tc>
        <w:tc>
          <w:tcPr>
            <w:tcW w:w="1780" w:type="dxa"/>
            <w:vAlign w:val="bottom"/>
          </w:tcPr>
          <w:p>
            <w:pPr>
              <w:ind w:left="640"/>
              <w:spacing w:after="0"/>
              <w:rPr>
                <w:sz w:val="20"/>
                <w:szCs w:val="20"/>
                <w:color w:val="auto"/>
              </w:rPr>
            </w:pPr>
            <w:r>
              <w:rPr>
                <w:rFonts w:ascii="Arial" w:cs="Arial" w:eastAsia="Arial" w:hAnsi="Arial"/>
                <w:sz w:val="14"/>
                <w:szCs w:val="14"/>
                <w:color w:val="auto"/>
              </w:rPr>
              <w:t>599,000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668,944</w:t>
            </w:r>
          </w:p>
        </w:tc>
      </w:tr>
      <w:tr>
        <w:trPr>
          <w:trHeight w:val="35"/>
        </w:trPr>
        <w:tc>
          <w:tcPr>
            <w:tcW w:w="45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45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Michael W. Bonney(4)</w:t>
            </w:r>
          </w:p>
        </w:tc>
        <w:tc>
          <w:tcPr>
            <w:tcW w:w="1920" w:type="dxa"/>
            <w:vAlign w:val="bottom"/>
            <w:tcBorders>
              <w:bottom w:val="single" w:sz="8" w:color="D7E8F5"/>
            </w:tcBorders>
            <w:shd w:val="clear" w:color="auto" w:fill="D7E8F5"/>
          </w:tcPr>
          <w:p>
            <w:pPr>
              <w:jc w:val="right"/>
              <w:ind w:right="528"/>
              <w:spacing w:after="0"/>
              <w:rPr>
                <w:sz w:val="20"/>
                <w:szCs w:val="20"/>
                <w:color w:val="auto"/>
              </w:rPr>
            </w:pPr>
            <w:r>
              <w:rPr>
                <w:rFonts w:ascii="Arial" w:cs="Arial" w:eastAsia="Arial" w:hAnsi="Arial"/>
                <w:sz w:val="14"/>
                <w:szCs w:val="14"/>
                <w:color w:val="auto"/>
              </w:rPr>
              <w:t>58,290</w:t>
            </w:r>
          </w:p>
        </w:tc>
        <w:tc>
          <w:tcPr>
            <w:tcW w:w="1780" w:type="dxa"/>
            <w:vAlign w:val="bottom"/>
            <w:tcBorders>
              <w:bottom w:val="single" w:sz="8" w:color="D7E8F5"/>
            </w:tcBorders>
            <w:shd w:val="clear" w:color="auto" w:fill="D7E8F5"/>
          </w:tcPr>
          <w:p>
            <w:pPr>
              <w:ind w:left="640"/>
              <w:spacing w:after="0"/>
              <w:rPr>
                <w:sz w:val="20"/>
                <w:szCs w:val="20"/>
                <w:color w:val="auto"/>
              </w:rPr>
            </w:pPr>
            <w:r>
              <w:rPr>
                <w:rFonts w:ascii="Arial" w:cs="Arial" w:eastAsia="Arial" w:hAnsi="Arial"/>
                <w:sz w:val="14"/>
                <w:szCs w:val="14"/>
                <w:color w:val="auto"/>
              </w:rPr>
              <w:t>399,710</w:t>
            </w:r>
          </w:p>
        </w:tc>
        <w:tc>
          <w:tcPr>
            <w:tcW w:w="1720" w:type="dxa"/>
            <w:vAlign w:val="bottom"/>
            <w:tcBorders>
              <w:bottom w:val="single" w:sz="8" w:color="D7E8F5"/>
            </w:tcBorders>
            <w:shd w:val="clear" w:color="auto" w:fill="D7E8F5"/>
          </w:tcPr>
          <w:p>
            <w:pPr>
              <w:jc w:val="right"/>
              <w:ind w:right="428"/>
              <w:spacing w:after="0"/>
              <w:rPr>
                <w:sz w:val="20"/>
                <w:szCs w:val="20"/>
                <w:color w:val="auto"/>
              </w:rPr>
            </w:pPr>
            <w:r>
              <w:rPr>
                <w:rFonts w:ascii="Arial" w:cs="Arial" w:eastAsia="Arial" w:hAnsi="Arial"/>
                <w:sz w:val="14"/>
                <w:szCs w:val="14"/>
                <w:color w:val="auto"/>
              </w:rPr>
              <w:t>9,230(7)</w:t>
            </w:r>
          </w:p>
        </w:tc>
        <w:tc>
          <w:tcPr>
            <w:tcW w:w="10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467,230</w:t>
            </w:r>
          </w:p>
        </w:tc>
      </w:tr>
      <w:tr>
        <w:trPr>
          <w:trHeight w:val="235"/>
        </w:trPr>
        <w:tc>
          <w:tcPr>
            <w:tcW w:w="4580" w:type="dxa"/>
            <w:vAlign w:val="bottom"/>
          </w:tcPr>
          <w:p>
            <w:pPr>
              <w:spacing w:after="0"/>
              <w:rPr>
                <w:sz w:val="20"/>
                <w:szCs w:val="20"/>
                <w:color w:val="auto"/>
              </w:rPr>
            </w:pPr>
            <w:r>
              <w:rPr>
                <w:rFonts w:ascii="Arial" w:cs="Arial" w:eastAsia="Arial" w:hAnsi="Arial"/>
                <w:sz w:val="14"/>
                <w:szCs w:val="14"/>
                <w:color w:val="auto"/>
              </w:rPr>
              <w:t> Olivier Brandicourt, M.D.</w:t>
            </w:r>
          </w:p>
        </w:tc>
        <w:tc>
          <w:tcPr>
            <w:tcW w:w="1920" w:type="dxa"/>
            <w:vAlign w:val="bottom"/>
          </w:tcPr>
          <w:p>
            <w:pPr>
              <w:jc w:val="right"/>
              <w:ind w:right="528"/>
              <w:spacing w:after="0"/>
              <w:rPr>
                <w:sz w:val="20"/>
                <w:szCs w:val="20"/>
                <w:color w:val="auto"/>
              </w:rPr>
            </w:pPr>
            <w:r>
              <w:rPr>
                <w:rFonts w:ascii="Arial" w:cs="Arial" w:eastAsia="Arial" w:hAnsi="Arial"/>
                <w:sz w:val="14"/>
                <w:szCs w:val="14"/>
                <w:color w:val="auto"/>
              </w:rPr>
              <w:t>81,250</w:t>
            </w:r>
          </w:p>
        </w:tc>
        <w:tc>
          <w:tcPr>
            <w:tcW w:w="1780" w:type="dxa"/>
            <w:vAlign w:val="bottom"/>
          </w:tcPr>
          <w:p>
            <w:pPr>
              <w:ind w:left="640"/>
              <w:spacing w:after="0"/>
              <w:rPr>
                <w:sz w:val="20"/>
                <w:szCs w:val="20"/>
                <w:color w:val="auto"/>
              </w:rPr>
            </w:pPr>
            <w:r>
              <w:rPr>
                <w:rFonts w:ascii="Arial" w:cs="Arial" w:eastAsia="Arial" w:hAnsi="Arial"/>
                <w:sz w:val="14"/>
                <w:szCs w:val="14"/>
                <w:color w:val="auto"/>
              </w:rPr>
              <w:t>399,710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480,960</w:t>
            </w:r>
          </w:p>
        </w:tc>
      </w:tr>
      <w:tr>
        <w:trPr>
          <w:trHeight w:val="35"/>
        </w:trPr>
        <w:tc>
          <w:tcPr>
            <w:tcW w:w="45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45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Marsha H. Fanucci(5)</w:t>
            </w:r>
          </w:p>
        </w:tc>
        <w:tc>
          <w:tcPr>
            <w:tcW w:w="1920" w:type="dxa"/>
            <w:vAlign w:val="bottom"/>
            <w:tcBorders>
              <w:bottom w:val="single" w:sz="8" w:color="D7E8F5"/>
            </w:tcBorders>
            <w:shd w:val="clear" w:color="auto" w:fill="D7E8F5"/>
          </w:tcPr>
          <w:p>
            <w:pPr>
              <w:jc w:val="right"/>
              <w:ind w:right="528"/>
              <w:spacing w:after="0"/>
              <w:rPr>
                <w:sz w:val="20"/>
                <w:szCs w:val="20"/>
                <w:color w:val="auto"/>
              </w:rPr>
            </w:pPr>
            <w:r>
              <w:rPr>
                <w:rFonts w:ascii="Arial" w:cs="Arial" w:eastAsia="Arial" w:hAnsi="Arial"/>
                <w:sz w:val="14"/>
                <w:szCs w:val="14"/>
                <w:color w:val="auto"/>
              </w:rPr>
              <w:t>69,380</w:t>
            </w:r>
          </w:p>
        </w:tc>
        <w:tc>
          <w:tcPr>
            <w:tcW w:w="1780" w:type="dxa"/>
            <w:vAlign w:val="bottom"/>
            <w:tcBorders>
              <w:bottom w:val="single" w:sz="8" w:color="D7E8F5"/>
            </w:tcBorders>
            <w:shd w:val="clear" w:color="auto" w:fill="D7E8F5"/>
          </w:tcPr>
          <w:p>
            <w:pPr>
              <w:ind w:left="640"/>
              <w:spacing w:after="0"/>
              <w:rPr>
                <w:sz w:val="20"/>
                <w:szCs w:val="20"/>
                <w:color w:val="auto"/>
              </w:rPr>
            </w:pPr>
            <w:r>
              <w:rPr>
                <w:rFonts w:ascii="Arial" w:cs="Arial" w:eastAsia="Arial" w:hAnsi="Arial"/>
                <w:sz w:val="14"/>
                <w:szCs w:val="14"/>
                <w:color w:val="auto"/>
              </w:rPr>
              <w:t>286,480(5)</w:t>
            </w:r>
          </w:p>
        </w:tc>
        <w:tc>
          <w:tcPr>
            <w:tcW w:w="1720" w:type="dxa"/>
            <w:vAlign w:val="bottom"/>
            <w:tcBorders>
              <w:bottom w:val="single" w:sz="8" w:color="D7E8F5"/>
            </w:tcBorders>
            <w:shd w:val="clear" w:color="auto" w:fill="D7E8F5"/>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355,860</w:t>
            </w:r>
          </w:p>
        </w:tc>
      </w:tr>
      <w:tr>
        <w:trPr>
          <w:trHeight w:val="235"/>
        </w:trPr>
        <w:tc>
          <w:tcPr>
            <w:tcW w:w="4580" w:type="dxa"/>
            <w:vAlign w:val="bottom"/>
          </w:tcPr>
          <w:p>
            <w:pPr>
              <w:spacing w:after="0"/>
              <w:rPr>
                <w:sz w:val="20"/>
                <w:szCs w:val="20"/>
                <w:color w:val="auto"/>
              </w:rPr>
            </w:pPr>
            <w:r>
              <w:rPr>
                <w:rFonts w:ascii="Arial" w:cs="Arial" w:eastAsia="Arial" w:hAnsi="Arial"/>
                <w:sz w:val="14"/>
                <w:szCs w:val="14"/>
                <w:color w:val="auto"/>
              </w:rPr>
              <w:t> Margaret A. Hamburg, M.D.</w:t>
            </w:r>
          </w:p>
        </w:tc>
        <w:tc>
          <w:tcPr>
            <w:tcW w:w="1920" w:type="dxa"/>
            <w:vAlign w:val="bottom"/>
          </w:tcPr>
          <w:p>
            <w:pPr>
              <w:jc w:val="right"/>
              <w:ind w:right="528"/>
              <w:spacing w:after="0"/>
              <w:rPr>
                <w:sz w:val="20"/>
                <w:szCs w:val="20"/>
                <w:color w:val="auto"/>
              </w:rPr>
            </w:pPr>
            <w:r>
              <w:rPr>
                <w:rFonts w:ascii="Arial" w:cs="Arial" w:eastAsia="Arial" w:hAnsi="Arial"/>
                <w:sz w:val="14"/>
                <w:szCs w:val="14"/>
                <w:color w:val="auto"/>
              </w:rPr>
              <w:t>71,680</w:t>
            </w:r>
          </w:p>
        </w:tc>
        <w:tc>
          <w:tcPr>
            <w:tcW w:w="1780" w:type="dxa"/>
            <w:vAlign w:val="bottom"/>
          </w:tcPr>
          <w:p>
            <w:pPr>
              <w:ind w:left="640"/>
              <w:spacing w:after="0"/>
              <w:rPr>
                <w:sz w:val="20"/>
                <w:szCs w:val="20"/>
                <w:color w:val="auto"/>
              </w:rPr>
            </w:pPr>
            <w:r>
              <w:rPr>
                <w:rFonts w:ascii="Arial" w:cs="Arial" w:eastAsia="Arial" w:hAnsi="Arial"/>
                <w:sz w:val="14"/>
                <w:szCs w:val="14"/>
                <w:color w:val="auto"/>
              </w:rPr>
              <w:t>399,710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471,390</w:t>
            </w:r>
          </w:p>
        </w:tc>
      </w:tr>
      <w:tr>
        <w:trPr>
          <w:trHeight w:val="35"/>
        </w:trPr>
        <w:tc>
          <w:tcPr>
            <w:tcW w:w="45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45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Peter N. Kellogg(6)</w:t>
            </w:r>
          </w:p>
        </w:tc>
        <w:tc>
          <w:tcPr>
            <w:tcW w:w="1920" w:type="dxa"/>
            <w:vAlign w:val="bottom"/>
            <w:tcBorders>
              <w:bottom w:val="single" w:sz="8" w:color="D7E8F5"/>
            </w:tcBorders>
            <w:shd w:val="clear" w:color="auto" w:fill="D7E8F5"/>
          </w:tcPr>
          <w:p>
            <w:pPr>
              <w:jc w:val="right"/>
              <w:ind w:right="528"/>
              <w:spacing w:after="0"/>
              <w:rPr>
                <w:sz w:val="20"/>
                <w:szCs w:val="20"/>
                <w:color w:val="auto"/>
              </w:rPr>
            </w:pPr>
            <w:r>
              <w:rPr>
                <w:rFonts w:ascii="Arial" w:cs="Arial" w:eastAsia="Arial" w:hAnsi="Arial"/>
                <w:sz w:val="14"/>
                <w:szCs w:val="14"/>
                <w:color w:val="auto"/>
              </w:rPr>
              <w:t>59,640</w:t>
            </w:r>
          </w:p>
        </w:tc>
        <w:tc>
          <w:tcPr>
            <w:tcW w:w="1780" w:type="dxa"/>
            <w:vAlign w:val="bottom"/>
            <w:tcBorders>
              <w:bottom w:val="single" w:sz="8" w:color="D7E8F5"/>
            </w:tcBorders>
            <w:shd w:val="clear" w:color="auto" w:fill="D7E8F5"/>
          </w:tcPr>
          <w:p>
            <w:pPr>
              <w:ind w:left="640"/>
              <w:spacing w:after="0"/>
              <w:rPr>
                <w:sz w:val="20"/>
                <w:szCs w:val="20"/>
                <w:color w:val="auto"/>
              </w:rPr>
            </w:pPr>
            <w:r>
              <w:rPr>
                <w:rFonts w:ascii="Arial" w:cs="Arial" w:eastAsia="Arial" w:hAnsi="Arial"/>
                <w:sz w:val="14"/>
                <w:szCs w:val="14"/>
                <w:color w:val="auto"/>
              </w:rPr>
              <w:t>599,080</w:t>
            </w:r>
          </w:p>
        </w:tc>
        <w:tc>
          <w:tcPr>
            <w:tcW w:w="1720" w:type="dxa"/>
            <w:vAlign w:val="bottom"/>
            <w:tcBorders>
              <w:bottom w:val="single" w:sz="8" w:color="D7E8F5"/>
            </w:tcBorders>
            <w:shd w:val="clear" w:color="auto" w:fill="D7E8F5"/>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658,720</w:t>
            </w:r>
          </w:p>
        </w:tc>
      </w:tr>
      <w:tr>
        <w:trPr>
          <w:trHeight w:val="235"/>
        </w:trPr>
        <w:tc>
          <w:tcPr>
            <w:tcW w:w="4580" w:type="dxa"/>
            <w:vAlign w:val="bottom"/>
          </w:tcPr>
          <w:p>
            <w:pPr>
              <w:spacing w:after="0"/>
              <w:rPr>
                <w:sz w:val="20"/>
                <w:szCs w:val="20"/>
                <w:color w:val="auto"/>
              </w:rPr>
            </w:pPr>
            <w:r>
              <w:rPr>
                <w:rFonts w:ascii="Arial" w:cs="Arial" w:eastAsia="Arial" w:hAnsi="Arial"/>
                <w:sz w:val="14"/>
                <w:szCs w:val="14"/>
                <w:color w:val="auto"/>
              </w:rPr>
              <w:t> David E.I. Pyott</w:t>
            </w:r>
          </w:p>
        </w:tc>
        <w:tc>
          <w:tcPr>
            <w:tcW w:w="1920" w:type="dxa"/>
            <w:vAlign w:val="bottom"/>
          </w:tcPr>
          <w:p>
            <w:pPr>
              <w:jc w:val="right"/>
              <w:ind w:right="528"/>
              <w:spacing w:after="0"/>
              <w:rPr>
                <w:sz w:val="20"/>
                <w:szCs w:val="20"/>
                <w:color w:val="auto"/>
              </w:rPr>
            </w:pPr>
            <w:r>
              <w:rPr>
                <w:rFonts w:ascii="Arial" w:cs="Arial" w:eastAsia="Arial" w:hAnsi="Arial"/>
                <w:sz w:val="14"/>
                <w:szCs w:val="14"/>
                <w:color w:val="auto"/>
              </w:rPr>
              <w:t>77,500</w:t>
            </w:r>
          </w:p>
        </w:tc>
        <w:tc>
          <w:tcPr>
            <w:tcW w:w="1780" w:type="dxa"/>
            <w:vAlign w:val="bottom"/>
          </w:tcPr>
          <w:p>
            <w:pPr>
              <w:ind w:left="640"/>
              <w:spacing w:after="0"/>
              <w:rPr>
                <w:sz w:val="20"/>
                <w:szCs w:val="20"/>
                <w:color w:val="auto"/>
              </w:rPr>
            </w:pPr>
            <w:r>
              <w:rPr>
                <w:rFonts w:ascii="Arial" w:cs="Arial" w:eastAsia="Arial" w:hAnsi="Arial"/>
                <w:sz w:val="14"/>
                <w:szCs w:val="14"/>
                <w:color w:val="auto"/>
              </w:rPr>
              <w:t>399,710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477,210</w:t>
            </w:r>
          </w:p>
        </w:tc>
      </w:tr>
      <w:tr>
        <w:trPr>
          <w:trHeight w:val="35"/>
        </w:trPr>
        <w:tc>
          <w:tcPr>
            <w:tcW w:w="45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45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Colleen F. Reitan</w:t>
            </w:r>
          </w:p>
        </w:tc>
        <w:tc>
          <w:tcPr>
            <w:tcW w:w="1920" w:type="dxa"/>
            <w:vAlign w:val="bottom"/>
            <w:tcBorders>
              <w:bottom w:val="single" w:sz="8" w:color="D7E8F5"/>
            </w:tcBorders>
            <w:shd w:val="clear" w:color="auto" w:fill="D7E8F5"/>
          </w:tcPr>
          <w:p>
            <w:pPr>
              <w:jc w:val="right"/>
              <w:ind w:right="528"/>
              <w:spacing w:after="0"/>
              <w:rPr>
                <w:sz w:val="20"/>
                <w:szCs w:val="20"/>
                <w:color w:val="auto"/>
              </w:rPr>
            </w:pPr>
            <w:r>
              <w:rPr>
                <w:rFonts w:ascii="Arial" w:cs="Arial" w:eastAsia="Arial" w:hAnsi="Arial"/>
                <w:sz w:val="14"/>
                <w:szCs w:val="14"/>
                <w:color w:val="auto"/>
              </w:rPr>
              <w:t>89,440</w:t>
            </w:r>
          </w:p>
        </w:tc>
        <w:tc>
          <w:tcPr>
            <w:tcW w:w="1780" w:type="dxa"/>
            <w:vAlign w:val="bottom"/>
            <w:tcBorders>
              <w:bottom w:val="single" w:sz="8" w:color="D7E8F5"/>
            </w:tcBorders>
            <w:shd w:val="clear" w:color="auto" w:fill="D7E8F5"/>
          </w:tcPr>
          <w:p>
            <w:pPr>
              <w:ind w:left="640"/>
              <w:spacing w:after="0"/>
              <w:rPr>
                <w:sz w:val="20"/>
                <w:szCs w:val="20"/>
                <w:color w:val="auto"/>
              </w:rPr>
            </w:pPr>
            <w:r>
              <w:rPr>
                <w:rFonts w:ascii="Arial" w:cs="Arial" w:eastAsia="Arial" w:hAnsi="Arial"/>
                <w:sz w:val="14"/>
                <w:szCs w:val="14"/>
                <w:color w:val="auto"/>
              </w:rPr>
              <w:t>399,710</w:t>
            </w:r>
          </w:p>
        </w:tc>
        <w:tc>
          <w:tcPr>
            <w:tcW w:w="1720" w:type="dxa"/>
            <w:vAlign w:val="bottom"/>
            <w:tcBorders>
              <w:bottom w:val="single" w:sz="8" w:color="D7E8F5"/>
            </w:tcBorders>
            <w:shd w:val="clear" w:color="auto" w:fill="D7E8F5"/>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489,150</w:t>
            </w:r>
          </w:p>
        </w:tc>
      </w:tr>
      <w:tr>
        <w:trPr>
          <w:trHeight w:val="235"/>
        </w:trPr>
        <w:tc>
          <w:tcPr>
            <w:tcW w:w="4580" w:type="dxa"/>
            <w:vAlign w:val="bottom"/>
          </w:tcPr>
          <w:p>
            <w:pPr>
              <w:spacing w:after="0"/>
              <w:rPr>
                <w:sz w:val="20"/>
                <w:szCs w:val="20"/>
                <w:color w:val="auto"/>
              </w:rPr>
            </w:pPr>
            <w:r>
              <w:rPr>
                <w:rFonts w:ascii="Arial" w:cs="Arial" w:eastAsia="Arial" w:hAnsi="Arial"/>
                <w:sz w:val="14"/>
                <w:szCs w:val="14"/>
                <w:color w:val="auto"/>
              </w:rPr>
              <w:t> Amy W. Schulman</w:t>
            </w:r>
          </w:p>
        </w:tc>
        <w:tc>
          <w:tcPr>
            <w:tcW w:w="1920" w:type="dxa"/>
            <w:vAlign w:val="bottom"/>
          </w:tcPr>
          <w:p>
            <w:pPr>
              <w:jc w:val="right"/>
              <w:ind w:right="528"/>
              <w:spacing w:after="0"/>
              <w:rPr>
                <w:sz w:val="20"/>
                <w:szCs w:val="20"/>
                <w:color w:val="auto"/>
              </w:rPr>
            </w:pPr>
            <w:r>
              <w:rPr>
                <w:rFonts w:ascii="Arial" w:cs="Arial" w:eastAsia="Arial" w:hAnsi="Arial"/>
                <w:sz w:val="14"/>
                <w:szCs w:val="14"/>
                <w:color w:val="auto"/>
              </w:rPr>
              <w:t>131,650</w:t>
            </w:r>
          </w:p>
        </w:tc>
        <w:tc>
          <w:tcPr>
            <w:tcW w:w="1780" w:type="dxa"/>
            <w:vAlign w:val="bottom"/>
          </w:tcPr>
          <w:p>
            <w:pPr>
              <w:ind w:left="640"/>
              <w:spacing w:after="0"/>
              <w:rPr>
                <w:sz w:val="20"/>
                <w:szCs w:val="20"/>
                <w:color w:val="auto"/>
              </w:rPr>
            </w:pPr>
            <w:r>
              <w:rPr>
                <w:rFonts w:ascii="Arial" w:cs="Arial" w:eastAsia="Arial" w:hAnsi="Arial"/>
                <w:sz w:val="14"/>
                <w:szCs w:val="14"/>
                <w:color w:val="auto"/>
              </w:rPr>
              <w:t>399,710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531,360</w:t>
            </w:r>
          </w:p>
        </w:tc>
      </w:tr>
      <w:tr>
        <w:trPr>
          <w:trHeight w:val="35"/>
        </w:trPr>
        <w:tc>
          <w:tcPr>
            <w:tcW w:w="45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45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Phillip A. Sharp, Ph.D.</w:t>
            </w:r>
          </w:p>
        </w:tc>
        <w:tc>
          <w:tcPr>
            <w:tcW w:w="1920" w:type="dxa"/>
            <w:vAlign w:val="bottom"/>
            <w:tcBorders>
              <w:bottom w:val="single" w:sz="8" w:color="D7E8F5"/>
            </w:tcBorders>
            <w:shd w:val="clear" w:color="auto" w:fill="D7E8F5"/>
          </w:tcPr>
          <w:p>
            <w:pPr>
              <w:jc w:val="right"/>
              <w:ind w:right="528"/>
              <w:spacing w:after="0"/>
              <w:rPr>
                <w:sz w:val="20"/>
                <w:szCs w:val="20"/>
                <w:color w:val="auto"/>
              </w:rPr>
            </w:pPr>
            <w:r>
              <w:rPr>
                <w:rFonts w:ascii="Arial" w:cs="Arial" w:eastAsia="Arial" w:hAnsi="Arial"/>
                <w:sz w:val="14"/>
                <w:szCs w:val="14"/>
                <w:color w:val="auto"/>
              </w:rPr>
              <w:t>77,500</w:t>
            </w:r>
          </w:p>
        </w:tc>
        <w:tc>
          <w:tcPr>
            <w:tcW w:w="1780" w:type="dxa"/>
            <w:vAlign w:val="bottom"/>
            <w:tcBorders>
              <w:bottom w:val="single" w:sz="8" w:color="D7E8F5"/>
            </w:tcBorders>
            <w:shd w:val="clear" w:color="auto" w:fill="D7E8F5"/>
          </w:tcPr>
          <w:p>
            <w:pPr>
              <w:ind w:left="640"/>
              <w:spacing w:after="0"/>
              <w:rPr>
                <w:sz w:val="20"/>
                <w:szCs w:val="20"/>
                <w:color w:val="auto"/>
              </w:rPr>
            </w:pPr>
            <w:r>
              <w:rPr>
                <w:rFonts w:ascii="Arial" w:cs="Arial" w:eastAsia="Arial" w:hAnsi="Arial"/>
                <w:sz w:val="14"/>
                <w:szCs w:val="14"/>
                <w:color w:val="auto"/>
              </w:rPr>
              <w:t>399,710</w:t>
            </w:r>
          </w:p>
        </w:tc>
        <w:tc>
          <w:tcPr>
            <w:tcW w:w="1720" w:type="dxa"/>
            <w:vAlign w:val="bottom"/>
            <w:tcBorders>
              <w:bottom w:val="single" w:sz="8" w:color="D7E8F5"/>
            </w:tcBorders>
            <w:shd w:val="clear" w:color="auto" w:fill="D7E8F5"/>
          </w:tcPr>
          <w:p>
            <w:pPr>
              <w:jc w:val="right"/>
              <w:ind w:right="428"/>
              <w:spacing w:after="0"/>
              <w:rPr>
                <w:sz w:val="20"/>
                <w:szCs w:val="20"/>
                <w:color w:val="auto"/>
              </w:rPr>
            </w:pPr>
            <w:r>
              <w:rPr>
                <w:rFonts w:ascii="Arial" w:cs="Arial" w:eastAsia="Arial" w:hAnsi="Arial"/>
                <w:sz w:val="14"/>
                <w:szCs w:val="14"/>
                <w:color w:val="auto"/>
              </w:rPr>
              <w:t>25,000(8)</w:t>
            </w:r>
          </w:p>
        </w:tc>
        <w:tc>
          <w:tcPr>
            <w:tcW w:w="10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502,210</w:t>
            </w:r>
          </w:p>
        </w:tc>
      </w:tr>
      <w:tr>
        <w:trPr>
          <w:trHeight w:val="235"/>
        </w:trPr>
        <w:tc>
          <w:tcPr>
            <w:tcW w:w="4580" w:type="dxa"/>
            <w:vAlign w:val="bottom"/>
          </w:tcPr>
          <w:p>
            <w:pPr>
              <w:spacing w:after="0"/>
              <w:rPr>
                <w:sz w:val="20"/>
                <w:szCs w:val="20"/>
                <w:color w:val="auto"/>
              </w:rPr>
            </w:pPr>
            <w:r>
              <w:rPr>
                <w:rFonts w:ascii="Arial" w:cs="Arial" w:eastAsia="Arial" w:hAnsi="Arial"/>
                <w:sz w:val="14"/>
                <w:szCs w:val="14"/>
                <w:color w:val="auto"/>
              </w:rPr>
              <w:t> Elliott Sigal, M.D., Ph.D.</w:t>
            </w:r>
          </w:p>
        </w:tc>
        <w:tc>
          <w:tcPr>
            <w:tcW w:w="1920" w:type="dxa"/>
            <w:vAlign w:val="bottom"/>
          </w:tcPr>
          <w:p>
            <w:pPr>
              <w:jc w:val="right"/>
              <w:ind w:right="528"/>
              <w:spacing w:after="0"/>
              <w:rPr>
                <w:sz w:val="20"/>
                <w:szCs w:val="20"/>
                <w:color w:val="auto"/>
              </w:rPr>
            </w:pPr>
            <w:r>
              <w:rPr>
                <w:rFonts w:ascii="Arial" w:cs="Arial" w:eastAsia="Arial" w:hAnsi="Arial"/>
                <w:sz w:val="14"/>
                <w:szCs w:val="14"/>
                <w:color w:val="auto"/>
              </w:rPr>
              <w:t>70,400</w:t>
            </w:r>
          </w:p>
        </w:tc>
        <w:tc>
          <w:tcPr>
            <w:tcW w:w="1780" w:type="dxa"/>
            <w:vAlign w:val="bottom"/>
          </w:tcPr>
          <w:p>
            <w:pPr>
              <w:ind w:left="640"/>
              <w:spacing w:after="0"/>
              <w:rPr>
                <w:sz w:val="20"/>
                <w:szCs w:val="20"/>
                <w:color w:val="auto"/>
              </w:rPr>
            </w:pPr>
            <w:r>
              <w:rPr>
                <w:rFonts w:ascii="Arial" w:cs="Arial" w:eastAsia="Arial" w:hAnsi="Arial"/>
                <w:sz w:val="14"/>
                <w:szCs w:val="14"/>
                <w:color w:val="auto"/>
              </w:rPr>
              <w:t>399,710</w:t>
            </w:r>
          </w:p>
        </w:tc>
        <w:tc>
          <w:tcPr>
            <w:tcW w:w="172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470,110</w:t>
            </w:r>
          </w:p>
        </w:tc>
      </w:tr>
      <w:tr>
        <w:trPr>
          <w:trHeight w:val="35"/>
        </w:trPr>
        <w:tc>
          <w:tcPr>
            <w:tcW w:w="4580" w:type="dxa"/>
            <w:vAlign w:val="bottom"/>
            <w:tcBorders>
              <w:bottom w:val="single" w:sz="8" w:color="2275B5"/>
            </w:tcBorders>
          </w:tcPr>
          <w:p>
            <w:pPr>
              <w:spacing w:after="0"/>
              <w:rPr>
                <w:sz w:val="3"/>
                <w:szCs w:val="3"/>
                <w:color w:val="auto"/>
              </w:rPr>
            </w:pPr>
          </w:p>
        </w:tc>
        <w:tc>
          <w:tcPr>
            <w:tcW w:w="1920" w:type="dxa"/>
            <w:vAlign w:val="bottom"/>
            <w:tcBorders>
              <w:bottom w:val="single" w:sz="8" w:color="2275B5"/>
            </w:tcBorders>
          </w:tcPr>
          <w:p>
            <w:pPr>
              <w:spacing w:after="0"/>
              <w:rPr>
                <w:sz w:val="3"/>
                <w:szCs w:val="3"/>
                <w:color w:val="auto"/>
              </w:rPr>
            </w:pPr>
          </w:p>
        </w:tc>
        <w:tc>
          <w:tcPr>
            <w:tcW w:w="1780" w:type="dxa"/>
            <w:vAlign w:val="bottom"/>
            <w:tcBorders>
              <w:bottom w:val="single" w:sz="8" w:color="2275B5"/>
            </w:tcBorders>
          </w:tcPr>
          <w:p>
            <w:pPr>
              <w:spacing w:after="0"/>
              <w:rPr>
                <w:sz w:val="3"/>
                <w:szCs w:val="3"/>
                <w:color w:val="auto"/>
              </w:rPr>
            </w:pPr>
          </w:p>
        </w:tc>
        <w:tc>
          <w:tcPr>
            <w:tcW w:w="1720" w:type="dxa"/>
            <w:vAlign w:val="bottom"/>
            <w:tcBorders>
              <w:bottom w:val="single" w:sz="8" w:color="2275B5"/>
            </w:tcBorders>
          </w:tcPr>
          <w:p>
            <w:pPr>
              <w:spacing w:after="0"/>
              <w:rPr>
                <w:sz w:val="3"/>
                <w:szCs w:val="3"/>
                <w:color w:val="auto"/>
              </w:rPr>
            </w:pPr>
          </w:p>
        </w:tc>
        <w:tc>
          <w:tcPr>
            <w:tcW w:w="1020" w:type="dxa"/>
            <w:vAlign w:val="bottom"/>
            <w:tcBorders>
              <w:bottom w:val="single" w:sz="8" w:color="2275B5"/>
            </w:tcBorders>
          </w:tcPr>
          <w:p>
            <w:pPr>
              <w:spacing w:after="0"/>
              <w:rPr>
                <w:sz w:val="3"/>
                <w:szCs w:val="3"/>
                <w:color w:val="auto"/>
              </w:rPr>
            </w:pPr>
          </w:p>
        </w:tc>
      </w:tr>
    </w:tbl>
    <w:p>
      <w:pPr>
        <w:spacing w:after="0" w:line="107" w:lineRule="exact"/>
        <w:rPr>
          <w:sz w:val="20"/>
          <w:szCs w:val="20"/>
          <w:color w:val="auto"/>
        </w:rPr>
      </w:pPr>
    </w:p>
    <w:p>
      <w:pPr>
        <w:ind w:left="760" w:right="80" w:hanging="644"/>
        <w:spacing w:after="0" w:line="254"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in this column reflect the aggregate grant date fair value of stock options granted for the fiscal year ended December 31, 2023, calculated in accordance with Financial Accounting Standards Board, or FASB, Accounting Standards Codification, or ASC, Topic 718. There can be no assurance that these amounts will ever be realized. Whether, and to what extent, a non-employee director realizes value will depend on our actual operating performance, stock price fluctuations and the non-employee director’s continued service on our board. The assumptions we used to calculate these amounts are included in Note 11 to our audited consolidated financial statements for the fiscal year ended December 31, 2023 included in our Annual Report on Form 10-K, filed with the SEC on 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760" w:right="400" w:hanging="644"/>
        <w:spacing w:after="0" w:line="286"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following table summarizes the equity awards granted to our non-employee directors for their service on our board during 2023 and the grant date fair value of such equity awards: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D3060"/>
        </w:rPr>
        <w:t>Director Grants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480" w:type="dxa"/>
            <w:vAlign w:val="bottom"/>
            <w:shd w:val="clear" w:color="auto" w:fill="1D3060"/>
          </w:tcPr>
          <w:p>
            <w:pPr>
              <w:spacing w:after="0"/>
              <w:rPr>
                <w:sz w:val="17"/>
                <w:szCs w:val="17"/>
                <w:color w:val="auto"/>
              </w:rPr>
            </w:pPr>
          </w:p>
        </w:tc>
        <w:tc>
          <w:tcPr>
            <w:tcW w:w="1220" w:type="dxa"/>
            <w:vAlign w:val="bottom"/>
            <w:shd w:val="clear" w:color="auto" w:fill="1D3060"/>
          </w:tcPr>
          <w:p>
            <w:pPr>
              <w:spacing w:after="0"/>
              <w:rPr>
                <w:sz w:val="17"/>
                <w:szCs w:val="17"/>
                <w:color w:val="auto"/>
              </w:rPr>
            </w:pPr>
          </w:p>
        </w:tc>
        <w:tc>
          <w:tcPr>
            <w:tcW w:w="158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740" w:type="dxa"/>
            <w:vAlign w:val="bottom"/>
            <w:shd w:val="clear" w:color="auto" w:fill="1D3060"/>
          </w:tcPr>
          <w:p>
            <w:pPr>
              <w:ind w:left="180"/>
              <w:spacing w:after="0"/>
              <w:rPr>
                <w:sz w:val="20"/>
                <w:szCs w:val="20"/>
                <w:color w:val="auto"/>
              </w:rPr>
            </w:pPr>
            <w:r>
              <w:rPr>
                <w:rFonts w:ascii="Arial" w:cs="Arial" w:eastAsia="Arial" w:hAnsi="Arial"/>
                <w:sz w:val="14"/>
                <w:szCs w:val="14"/>
                <w:b w:val="1"/>
                <w:bCs w:val="1"/>
                <w:color w:val="FFFFFF"/>
              </w:rPr>
              <w:t>Grant Date Fair Value  </w:t>
            </w:r>
          </w:p>
        </w:tc>
      </w:tr>
      <w:tr>
        <w:trPr>
          <w:trHeight w:val="162"/>
        </w:trPr>
        <w:tc>
          <w:tcPr>
            <w:tcW w:w="6480" w:type="dxa"/>
            <w:vAlign w:val="bottom"/>
            <w:shd w:val="clear" w:color="auto" w:fill="1D3060"/>
          </w:tcPr>
          <w:p>
            <w:pPr>
              <w:spacing w:after="0"/>
              <w:rPr>
                <w:sz w:val="14"/>
                <w:szCs w:val="14"/>
                <w:color w:val="auto"/>
              </w:rPr>
            </w:pPr>
          </w:p>
        </w:tc>
        <w:tc>
          <w:tcPr>
            <w:tcW w:w="1220" w:type="dxa"/>
            <w:vAlign w:val="bottom"/>
            <w:shd w:val="clear" w:color="auto" w:fill="1D3060"/>
          </w:tcPr>
          <w:p>
            <w:pPr>
              <w:jc w:val="right"/>
              <w:ind w:right="208"/>
              <w:spacing w:after="0"/>
              <w:rPr>
                <w:sz w:val="20"/>
                <w:szCs w:val="20"/>
                <w:color w:val="auto"/>
              </w:rPr>
            </w:pPr>
            <w:r>
              <w:rPr>
                <w:rFonts w:ascii="Arial" w:cs="Arial" w:eastAsia="Arial" w:hAnsi="Arial"/>
                <w:sz w:val="14"/>
                <w:szCs w:val="14"/>
                <w:b w:val="1"/>
                <w:bCs w:val="1"/>
                <w:color w:val="FFFFFF"/>
              </w:rPr>
              <w:t>Date of</w:t>
            </w:r>
          </w:p>
        </w:tc>
        <w:tc>
          <w:tcPr>
            <w:tcW w:w="158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Underlying Option</w:t>
            </w:r>
          </w:p>
        </w:tc>
        <w:tc>
          <w:tcPr>
            <w:tcW w:w="1740" w:type="dxa"/>
            <w:vAlign w:val="bottom"/>
            <w:shd w:val="clear" w:color="auto" w:fill="1D3060"/>
          </w:tcPr>
          <w:p>
            <w:pPr>
              <w:ind w:left="360"/>
              <w:spacing w:after="0"/>
              <w:rPr>
                <w:sz w:val="20"/>
                <w:szCs w:val="20"/>
                <w:color w:val="auto"/>
              </w:rPr>
            </w:pPr>
            <w:r>
              <w:rPr>
                <w:rFonts w:ascii="Arial" w:cs="Arial" w:eastAsia="Arial" w:hAnsi="Arial"/>
                <w:sz w:val="14"/>
                <w:szCs w:val="14"/>
                <w:b w:val="1"/>
                <w:bCs w:val="1"/>
                <w:color w:val="FFFFFF"/>
              </w:rPr>
              <w:t>of Option Award</w:t>
            </w:r>
          </w:p>
        </w:tc>
      </w:tr>
      <w:tr>
        <w:trPr>
          <w:trHeight w:val="219"/>
        </w:trPr>
        <w:tc>
          <w:tcPr>
            <w:tcW w:w="6480" w:type="dxa"/>
            <w:vAlign w:val="bottom"/>
            <w:tcBorders>
              <w:bottom w:val="single" w:sz="8" w:color="1D3060"/>
            </w:tcBorders>
            <w:shd w:val="clear" w:color="auto" w:fill="1D3060"/>
          </w:tcPr>
          <w:p>
            <w:pPr>
              <w:spacing w:after="0"/>
              <w:rPr>
                <w:sz w:val="20"/>
                <w:szCs w:val="20"/>
                <w:color w:val="auto"/>
              </w:rPr>
            </w:pPr>
            <w:r>
              <w:rPr>
                <w:rFonts w:ascii="Arial" w:cs="Arial" w:eastAsia="Arial" w:hAnsi="Arial"/>
                <w:sz w:val="14"/>
                <w:szCs w:val="14"/>
                <w:b w:val="1"/>
                <w:bCs w:val="1"/>
                <w:color w:val="FFFFFF"/>
              </w:rPr>
              <w:t> Name</w:t>
            </w:r>
          </w:p>
        </w:tc>
        <w:tc>
          <w:tcPr>
            <w:tcW w:w="1220" w:type="dxa"/>
            <w:vAlign w:val="bottom"/>
            <w:tcBorders>
              <w:bottom w:val="single" w:sz="8" w:color="1D3060"/>
            </w:tcBorders>
            <w:shd w:val="clear" w:color="auto" w:fill="1D3060"/>
          </w:tcPr>
          <w:p>
            <w:pPr>
              <w:jc w:val="right"/>
              <w:ind w:right="248"/>
              <w:spacing w:after="0"/>
              <w:rPr>
                <w:sz w:val="20"/>
                <w:szCs w:val="20"/>
                <w:color w:val="auto"/>
              </w:rPr>
            </w:pPr>
            <w:r>
              <w:rPr>
                <w:rFonts w:ascii="Arial" w:cs="Arial" w:eastAsia="Arial" w:hAnsi="Arial"/>
                <w:sz w:val="14"/>
                <w:szCs w:val="14"/>
                <w:b w:val="1"/>
                <w:bCs w:val="1"/>
                <w:color w:val="FFFFFF"/>
              </w:rPr>
              <w:t>Grant</w:t>
            </w:r>
          </w:p>
        </w:tc>
        <w:tc>
          <w:tcPr>
            <w:tcW w:w="158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rPr>
              <w:t>Award Grants (#)</w:t>
            </w:r>
          </w:p>
        </w:tc>
        <w:tc>
          <w:tcPr>
            <w:tcW w:w="1740" w:type="dxa"/>
            <w:vAlign w:val="bottom"/>
            <w:tcBorders>
              <w:bottom w:val="single" w:sz="8" w:color="1D3060"/>
            </w:tcBorders>
            <w:shd w:val="clear" w:color="auto" w:fill="1D3060"/>
          </w:tcPr>
          <w:p>
            <w:pPr>
              <w:ind w:left="480"/>
              <w:spacing w:after="0"/>
              <w:rPr>
                <w:sz w:val="20"/>
                <w:szCs w:val="20"/>
                <w:color w:val="auto"/>
              </w:rPr>
            </w:pPr>
            <w:r>
              <w:rPr>
                <w:rFonts w:ascii="Arial" w:cs="Arial" w:eastAsia="Arial" w:hAnsi="Arial"/>
                <w:sz w:val="14"/>
                <w:szCs w:val="14"/>
                <w:b w:val="1"/>
                <w:bCs w:val="1"/>
                <w:color w:val="FFFFFF"/>
              </w:rPr>
              <w:t>Grants ($)(a)</w:t>
            </w:r>
          </w:p>
        </w:tc>
      </w:tr>
      <w:tr>
        <w:trPr>
          <w:trHeight w:val="250"/>
        </w:trPr>
        <w:tc>
          <w:tcPr>
            <w:tcW w:w="64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Dennis A. Ausiello, M.D.</w:t>
            </w:r>
          </w:p>
        </w:tc>
        <w:tc>
          <w:tcPr>
            <w:tcW w:w="12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5/18/2023</w:t>
            </w:r>
          </w:p>
        </w:tc>
        <w:tc>
          <w:tcPr>
            <w:tcW w:w="1580" w:type="dxa"/>
            <w:vAlign w:val="bottom"/>
            <w:tcBorders>
              <w:bottom w:val="single" w:sz="8" w:color="D7E8F5"/>
            </w:tcBorders>
            <w:shd w:val="clear" w:color="auto" w:fill="D7E8F5"/>
          </w:tcPr>
          <w:p>
            <w:pPr>
              <w:jc w:val="right"/>
              <w:ind w:right="408"/>
              <w:spacing w:after="0"/>
              <w:rPr>
                <w:sz w:val="20"/>
                <w:szCs w:val="20"/>
                <w:color w:val="auto"/>
              </w:rPr>
            </w:pPr>
            <w:r>
              <w:rPr>
                <w:rFonts w:ascii="Arial" w:cs="Arial" w:eastAsia="Arial" w:hAnsi="Arial"/>
                <w:sz w:val="14"/>
                <w:szCs w:val="14"/>
                <w:color w:val="auto"/>
              </w:rPr>
              <w:t>3,454</w:t>
            </w:r>
          </w:p>
        </w:tc>
        <w:tc>
          <w:tcPr>
            <w:tcW w:w="1740" w:type="dxa"/>
            <w:vAlign w:val="bottom"/>
            <w:tcBorders>
              <w:bottom w:val="single" w:sz="8" w:color="D7E8F5"/>
            </w:tcBorders>
            <w:shd w:val="clear" w:color="auto" w:fill="D7E8F5"/>
          </w:tcPr>
          <w:p>
            <w:pPr>
              <w:ind w:left="820"/>
              <w:spacing w:after="0"/>
              <w:rPr>
                <w:sz w:val="20"/>
                <w:szCs w:val="20"/>
                <w:color w:val="auto"/>
              </w:rPr>
            </w:pPr>
            <w:r>
              <w:rPr>
                <w:rFonts w:ascii="Arial" w:cs="Arial" w:eastAsia="Arial" w:hAnsi="Arial"/>
                <w:sz w:val="14"/>
                <w:szCs w:val="14"/>
                <w:color w:val="auto"/>
              </w:rPr>
              <w:t>399,710</w:t>
            </w:r>
          </w:p>
        </w:tc>
      </w:tr>
      <w:tr>
        <w:trPr>
          <w:trHeight w:val="235"/>
        </w:trPr>
        <w:tc>
          <w:tcPr>
            <w:tcW w:w="6480" w:type="dxa"/>
            <w:vAlign w:val="bottom"/>
          </w:tcPr>
          <w:p>
            <w:pPr>
              <w:spacing w:after="0"/>
              <w:rPr>
                <w:sz w:val="20"/>
                <w:szCs w:val="20"/>
                <w:color w:val="auto"/>
              </w:rPr>
            </w:pPr>
            <w:r>
              <w:rPr>
                <w:rFonts w:ascii="Arial" w:cs="Arial" w:eastAsia="Arial" w:hAnsi="Arial"/>
                <w:sz w:val="14"/>
                <w:szCs w:val="14"/>
                <w:color w:val="auto"/>
              </w:rPr>
              <w:t> Carolyn Bertozzi, Ph.D.(b)</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1/5/2023</w:t>
            </w:r>
          </w:p>
        </w:tc>
        <w:tc>
          <w:tcPr>
            <w:tcW w:w="1580" w:type="dxa"/>
            <w:vAlign w:val="bottom"/>
          </w:tcPr>
          <w:p>
            <w:pPr>
              <w:jc w:val="right"/>
              <w:ind w:right="408"/>
              <w:spacing w:after="0"/>
              <w:rPr>
                <w:sz w:val="20"/>
                <w:szCs w:val="20"/>
                <w:color w:val="auto"/>
              </w:rPr>
            </w:pPr>
            <w:r>
              <w:rPr>
                <w:rFonts w:ascii="Arial" w:cs="Arial" w:eastAsia="Arial" w:hAnsi="Arial"/>
                <w:sz w:val="14"/>
                <w:szCs w:val="14"/>
                <w:color w:val="auto"/>
              </w:rPr>
              <w:t>4,268</w:t>
            </w:r>
          </w:p>
        </w:tc>
        <w:tc>
          <w:tcPr>
            <w:tcW w:w="1740" w:type="dxa"/>
            <w:vAlign w:val="bottom"/>
          </w:tcPr>
          <w:p>
            <w:pPr>
              <w:ind w:left="820"/>
              <w:spacing w:after="0"/>
              <w:rPr>
                <w:sz w:val="20"/>
                <w:szCs w:val="20"/>
                <w:color w:val="auto"/>
              </w:rPr>
            </w:pPr>
            <w:r>
              <w:rPr>
                <w:rFonts w:ascii="Arial" w:cs="Arial" w:eastAsia="Arial" w:hAnsi="Arial"/>
                <w:sz w:val="14"/>
                <w:szCs w:val="14"/>
                <w:color w:val="auto"/>
              </w:rPr>
              <w:t>599,000</w:t>
            </w:r>
          </w:p>
        </w:tc>
      </w:tr>
      <w:tr>
        <w:trPr>
          <w:trHeight w:val="35"/>
        </w:trPr>
        <w:tc>
          <w:tcPr>
            <w:tcW w:w="64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0"/>
        </w:trPr>
        <w:tc>
          <w:tcPr>
            <w:tcW w:w="64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Olivier Brandicourt, M.D.</w:t>
            </w:r>
          </w:p>
        </w:tc>
        <w:tc>
          <w:tcPr>
            <w:tcW w:w="12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5/18/2023</w:t>
            </w:r>
          </w:p>
        </w:tc>
        <w:tc>
          <w:tcPr>
            <w:tcW w:w="1580" w:type="dxa"/>
            <w:vAlign w:val="bottom"/>
            <w:tcBorders>
              <w:bottom w:val="single" w:sz="8" w:color="D7E8F5"/>
            </w:tcBorders>
            <w:shd w:val="clear" w:color="auto" w:fill="D7E8F5"/>
          </w:tcPr>
          <w:p>
            <w:pPr>
              <w:jc w:val="right"/>
              <w:ind w:right="408"/>
              <w:spacing w:after="0"/>
              <w:rPr>
                <w:sz w:val="20"/>
                <w:szCs w:val="20"/>
                <w:color w:val="auto"/>
              </w:rPr>
            </w:pPr>
            <w:r>
              <w:rPr>
                <w:rFonts w:ascii="Arial" w:cs="Arial" w:eastAsia="Arial" w:hAnsi="Arial"/>
                <w:sz w:val="14"/>
                <w:szCs w:val="14"/>
                <w:color w:val="auto"/>
              </w:rPr>
              <w:t>3,454</w:t>
            </w:r>
          </w:p>
        </w:tc>
        <w:tc>
          <w:tcPr>
            <w:tcW w:w="1740" w:type="dxa"/>
            <w:vAlign w:val="bottom"/>
            <w:tcBorders>
              <w:bottom w:val="single" w:sz="8" w:color="D7E8F5"/>
            </w:tcBorders>
            <w:shd w:val="clear" w:color="auto" w:fill="D7E8F5"/>
          </w:tcPr>
          <w:p>
            <w:pPr>
              <w:ind w:left="820"/>
              <w:spacing w:after="0"/>
              <w:rPr>
                <w:sz w:val="20"/>
                <w:szCs w:val="20"/>
                <w:color w:val="auto"/>
              </w:rPr>
            </w:pPr>
            <w:r>
              <w:rPr>
                <w:rFonts w:ascii="Arial" w:cs="Arial" w:eastAsia="Arial" w:hAnsi="Arial"/>
                <w:sz w:val="14"/>
                <w:szCs w:val="14"/>
                <w:color w:val="auto"/>
              </w:rPr>
              <w:t>399,710</w:t>
            </w:r>
          </w:p>
        </w:tc>
      </w:tr>
      <w:tr>
        <w:trPr>
          <w:trHeight w:val="235"/>
        </w:trPr>
        <w:tc>
          <w:tcPr>
            <w:tcW w:w="6480" w:type="dxa"/>
            <w:vAlign w:val="bottom"/>
          </w:tcPr>
          <w:p>
            <w:pPr>
              <w:spacing w:after="0"/>
              <w:rPr>
                <w:sz w:val="20"/>
                <w:szCs w:val="20"/>
                <w:color w:val="auto"/>
              </w:rPr>
            </w:pPr>
            <w:r>
              <w:rPr>
                <w:rFonts w:ascii="Arial" w:cs="Arial" w:eastAsia="Arial" w:hAnsi="Arial"/>
                <w:sz w:val="14"/>
                <w:szCs w:val="14"/>
                <w:color w:val="auto"/>
              </w:rPr>
              <w:t> Michael W. Bonney</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5/18/2023</w:t>
            </w:r>
          </w:p>
        </w:tc>
        <w:tc>
          <w:tcPr>
            <w:tcW w:w="1580" w:type="dxa"/>
            <w:vAlign w:val="bottom"/>
          </w:tcPr>
          <w:p>
            <w:pPr>
              <w:jc w:val="right"/>
              <w:ind w:right="408"/>
              <w:spacing w:after="0"/>
              <w:rPr>
                <w:sz w:val="20"/>
                <w:szCs w:val="20"/>
                <w:color w:val="auto"/>
              </w:rPr>
            </w:pPr>
            <w:r>
              <w:rPr>
                <w:rFonts w:ascii="Arial" w:cs="Arial" w:eastAsia="Arial" w:hAnsi="Arial"/>
                <w:sz w:val="14"/>
                <w:szCs w:val="14"/>
                <w:color w:val="auto"/>
              </w:rPr>
              <w:t>3,454</w:t>
            </w:r>
          </w:p>
        </w:tc>
        <w:tc>
          <w:tcPr>
            <w:tcW w:w="1740" w:type="dxa"/>
            <w:vAlign w:val="bottom"/>
          </w:tcPr>
          <w:p>
            <w:pPr>
              <w:ind w:left="820"/>
              <w:spacing w:after="0"/>
              <w:rPr>
                <w:sz w:val="20"/>
                <w:szCs w:val="20"/>
                <w:color w:val="auto"/>
              </w:rPr>
            </w:pPr>
            <w:r>
              <w:rPr>
                <w:rFonts w:ascii="Arial" w:cs="Arial" w:eastAsia="Arial" w:hAnsi="Arial"/>
                <w:sz w:val="14"/>
                <w:szCs w:val="14"/>
                <w:color w:val="auto"/>
              </w:rPr>
              <w:t>399,710</w:t>
            </w:r>
          </w:p>
        </w:tc>
      </w:tr>
      <w:tr>
        <w:trPr>
          <w:trHeight w:val="35"/>
        </w:trPr>
        <w:tc>
          <w:tcPr>
            <w:tcW w:w="64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0"/>
        </w:trPr>
        <w:tc>
          <w:tcPr>
            <w:tcW w:w="64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Marsha H. Fanucci</w:t>
            </w:r>
          </w:p>
        </w:tc>
        <w:tc>
          <w:tcPr>
            <w:tcW w:w="12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5/18/2023</w:t>
            </w:r>
          </w:p>
        </w:tc>
        <w:tc>
          <w:tcPr>
            <w:tcW w:w="1580" w:type="dxa"/>
            <w:vAlign w:val="bottom"/>
            <w:tcBorders>
              <w:bottom w:val="single" w:sz="8" w:color="D7E8F5"/>
            </w:tcBorders>
            <w:shd w:val="clear" w:color="auto" w:fill="D7E8F5"/>
          </w:tcPr>
          <w:p>
            <w:pPr>
              <w:jc w:val="right"/>
              <w:ind w:right="408"/>
              <w:spacing w:after="0"/>
              <w:rPr>
                <w:sz w:val="20"/>
                <w:szCs w:val="20"/>
                <w:color w:val="auto"/>
              </w:rPr>
            </w:pPr>
            <w:r>
              <w:rPr>
                <w:rFonts w:ascii="Arial" w:cs="Arial" w:eastAsia="Arial" w:hAnsi="Arial"/>
                <w:sz w:val="14"/>
                <w:szCs w:val="14"/>
                <w:color w:val="auto"/>
              </w:rPr>
              <w:t>3,454</w:t>
            </w:r>
          </w:p>
        </w:tc>
        <w:tc>
          <w:tcPr>
            <w:tcW w:w="1740" w:type="dxa"/>
            <w:vAlign w:val="bottom"/>
            <w:tcBorders>
              <w:bottom w:val="single" w:sz="8" w:color="D7E8F5"/>
            </w:tcBorders>
            <w:shd w:val="clear" w:color="auto" w:fill="D7E8F5"/>
          </w:tcPr>
          <w:p>
            <w:pPr>
              <w:ind w:left="820"/>
              <w:spacing w:after="0"/>
              <w:rPr>
                <w:sz w:val="20"/>
                <w:szCs w:val="20"/>
                <w:color w:val="auto"/>
              </w:rPr>
            </w:pPr>
            <w:r>
              <w:rPr>
                <w:rFonts w:ascii="Arial" w:cs="Arial" w:eastAsia="Arial" w:hAnsi="Arial"/>
                <w:sz w:val="14"/>
                <w:szCs w:val="14"/>
                <w:color w:val="auto"/>
              </w:rPr>
              <w:t>286,480(d)</w:t>
            </w:r>
          </w:p>
        </w:tc>
      </w:tr>
      <w:tr>
        <w:trPr>
          <w:trHeight w:val="235"/>
        </w:trPr>
        <w:tc>
          <w:tcPr>
            <w:tcW w:w="6480" w:type="dxa"/>
            <w:vAlign w:val="bottom"/>
          </w:tcPr>
          <w:p>
            <w:pPr>
              <w:spacing w:after="0"/>
              <w:rPr>
                <w:sz w:val="20"/>
                <w:szCs w:val="20"/>
                <w:color w:val="auto"/>
              </w:rPr>
            </w:pPr>
            <w:r>
              <w:rPr>
                <w:rFonts w:ascii="Arial" w:cs="Arial" w:eastAsia="Arial" w:hAnsi="Arial"/>
                <w:sz w:val="14"/>
                <w:szCs w:val="14"/>
                <w:color w:val="auto"/>
              </w:rPr>
              <w:t> Margaret A. Hamburg, M.D.</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5/18/2023</w:t>
            </w:r>
          </w:p>
        </w:tc>
        <w:tc>
          <w:tcPr>
            <w:tcW w:w="1580" w:type="dxa"/>
            <w:vAlign w:val="bottom"/>
          </w:tcPr>
          <w:p>
            <w:pPr>
              <w:jc w:val="right"/>
              <w:ind w:right="408"/>
              <w:spacing w:after="0"/>
              <w:rPr>
                <w:sz w:val="20"/>
                <w:szCs w:val="20"/>
                <w:color w:val="auto"/>
              </w:rPr>
            </w:pPr>
            <w:r>
              <w:rPr>
                <w:rFonts w:ascii="Arial" w:cs="Arial" w:eastAsia="Arial" w:hAnsi="Arial"/>
                <w:sz w:val="14"/>
                <w:szCs w:val="14"/>
                <w:color w:val="auto"/>
              </w:rPr>
              <w:t>3,454</w:t>
            </w:r>
          </w:p>
        </w:tc>
        <w:tc>
          <w:tcPr>
            <w:tcW w:w="1740" w:type="dxa"/>
            <w:vAlign w:val="bottom"/>
          </w:tcPr>
          <w:p>
            <w:pPr>
              <w:ind w:left="820"/>
              <w:spacing w:after="0"/>
              <w:rPr>
                <w:sz w:val="20"/>
                <w:szCs w:val="20"/>
                <w:color w:val="auto"/>
              </w:rPr>
            </w:pPr>
            <w:r>
              <w:rPr>
                <w:rFonts w:ascii="Arial" w:cs="Arial" w:eastAsia="Arial" w:hAnsi="Arial"/>
                <w:sz w:val="14"/>
                <w:szCs w:val="14"/>
                <w:color w:val="auto"/>
              </w:rPr>
              <w:t>399,710</w:t>
            </w:r>
          </w:p>
        </w:tc>
      </w:tr>
      <w:tr>
        <w:trPr>
          <w:trHeight w:val="35"/>
        </w:trPr>
        <w:tc>
          <w:tcPr>
            <w:tcW w:w="64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0"/>
        </w:trPr>
        <w:tc>
          <w:tcPr>
            <w:tcW w:w="64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Peter N. Kellogg(c)</w:t>
            </w:r>
          </w:p>
        </w:tc>
        <w:tc>
          <w:tcPr>
            <w:tcW w:w="12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3/7/2023</w:t>
            </w:r>
          </w:p>
        </w:tc>
        <w:tc>
          <w:tcPr>
            <w:tcW w:w="1580" w:type="dxa"/>
            <w:vAlign w:val="bottom"/>
            <w:tcBorders>
              <w:bottom w:val="single" w:sz="8" w:color="D7E8F5"/>
            </w:tcBorders>
            <w:shd w:val="clear" w:color="auto" w:fill="D7E8F5"/>
          </w:tcPr>
          <w:p>
            <w:pPr>
              <w:jc w:val="right"/>
              <w:ind w:right="408"/>
              <w:spacing w:after="0"/>
              <w:rPr>
                <w:sz w:val="20"/>
                <w:szCs w:val="20"/>
                <w:color w:val="auto"/>
              </w:rPr>
            </w:pPr>
            <w:r>
              <w:rPr>
                <w:rFonts w:ascii="Arial" w:cs="Arial" w:eastAsia="Arial" w:hAnsi="Arial"/>
                <w:sz w:val="14"/>
                <w:szCs w:val="14"/>
                <w:color w:val="auto"/>
              </w:rPr>
              <w:t>4,948</w:t>
            </w:r>
          </w:p>
        </w:tc>
        <w:tc>
          <w:tcPr>
            <w:tcW w:w="1740" w:type="dxa"/>
            <w:vAlign w:val="bottom"/>
            <w:tcBorders>
              <w:bottom w:val="single" w:sz="8" w:color="D7E8F5"/>
            </w:tcBorders>
            <w:shd w:val="clear" w:color="auto" w:fill="D7E8F5"/>
          </w:tcPr>
          <w:p>
            <w:pPr>
              <w:ind w:left="820"/>
              <w:spacing w:after="0"/>
              <w:rPr>
                <w:sz w:val="20"/>
                <w:szCs w:val="20"/>
                <w:color w:val="auto"/>
              </w:rPr>
            </w:pPr>
            <w:r>
              <w:rPr>
                <w:rFonts w:ascii="Arial" w:cs="Arial" w:eastAsia="Arial" w:hAnsi="Arial"/>
                <w:sz w:val="14"/>
                <w:szCs w:val="14"/>
                <w:color w:val="auto"/>
              </w:rPr>
              <w:t>599,080</w:t>
            </w:r>
          </w:p>
        </w:tc>
      </w:tr>
      <w:tr>
        <w:trPr>
          <w:trHeight w:val="235"/>
        </w:trPr>
        <w:tc>
          <w:tcPr>
            <w:tcW w:w="6480" w:type="dxa"/>
            <w:vAlign w:val="bottom"/>
          </w:tcPr>
          <w:p>
            <w:pPr>
              <w:spacing w:after="0"/>
              <w:rPr>
                <w:sz w:val="20"/>
                <w:szCs w:val="20"/>
                <w:color w:val="auto"/>
              </w:rPr>
            </w:pPr>
            <w:r>
              <w:rPr>
                <w:rFonts w:ascii="Arial" w:cs="Arial" w:eastAsia="Arial" w:hAnsi="Arial"/>
                <w:sz w:val="14"/>
                <w:szCs w:val="14"/>
                <w:color w:val="auto"/>
              </w:rPr>
              <w:t> David E.I. Pyott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5/18/2023</w:t>
            </w:r>
          </w:p>
        </w:tc>
        <w:tc>
          <w:tcPr>
            <w:tcW w:w="1580" w:type="dxa"/>
            <w:vAlign w:val="bottom"/>
          </w:tcPr>
          <w:p>
            <w:pPr>
              <w:jc w:val="right"/>
              <w:ind w:right="408"/>
              <w:spacing w:after="0"/>
              <w:rPr>
                <w:sz w:val="20"/>
                <w:szCs w:val="20"/>
                <w:color w:val="auto"/>
              </w:rPr>
            </w:pPr>
            <w:r>
              <w:rPr>
                <w:rFonts w:ascii="Arial" w:cs="Arial" w:eastAsia="Arial" w:hAnsi="Arial"/>
                <w:sz w:val="14"/>
                <w:szCs w:val="14"/>
                <w:color w:val="auto"/>
              </w:rPr>
              <w:t>3,454</w:t>
            </w:r>
          </w:p>
        </w:tc>
        <w:tc>
          <w:tcPr>
            <w:tcW w:w="1740" w:type="dxa"/>
            <w:vAlign w:val="bottom"/>
          </w:tcPr>
          <w:p>
            <w:pPr>
              <w:ind w:left="820"/>
              <w:spacing w:after="0"/>
              <w:rPr>
                <w:sz w:val="20"/>
                <w:szCs w:val="20"/>
                <w:color w:val="auto"/>
              </w:rPr>
            </w:pPr>
            <w:r>
              <w:rPr>
                <w:rFonts w:ascii="Arial" w:cs="Arial" w:eastAsia="Arial" w:hAnsi="Arial"/>
                <w:sz w:val="14"/>
                <w:szCs w:val="14"/>
                <w:color w:val="auto"/>
              </w:rPr>
              <w:t>399,710</w:t>
            </w:r>
          </w:p>
        </w:tc>
      </w:tr>
      <w:tr>
        <w:trPr>
          <w:trHeight w:val="35"/>
        </w:trPr>
        <w:tc>
          <w:tcPr>
            <w:tcW w:w="64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0"/>
        </w:trPr>
        <w:tc>
          <w:tcPr>
            <w:tcW w:w="64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Colleen F. Reitan</w:t>
            </w:r>
          </w:p>
        </w:tc>
        <w:tc>
          <w:tcPr>
            <w:tcW w:w="12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5/18/2023</w:t>
            </w:r>
          </w:p>
        </w:tc>
        <w:tc>
          <w:tcPr>
            <w:tcW w:w="1580" w:type="dxa"/>
            <w:vAlign w:val="bottom"/>
            <w:tcBorders>
              <w:bottom w:val="single" w:sz="8" w:color="D7E8F5"/>
            </w:tcBorders>
            <w:shd w:val="clear" w:color="auto" w:fill="D7E8F5"/>
          </w:tcPr>
          <w:p>
            <w:pPr>
              <w:jc w:val="right"/>
              <w:ind w:right="408"/>
              <w:spacing w:after="0"/>
              <w:rPr>
                <w:sz w:val="20"/>
                <w:szCs w:val="20"/>
                <w:color w:val="auto"/>
              </w:rPr>
            </w:pPr>
            <w:r>
              <w:rPr>
                <w:rFonts w:ascii="Arial" w:cs="Arial" w:eastAsia="Arial" w:hAnsi="Arial"/>
                <w:sz w:val="14"/>
                <w:szCs w:val="14"/>
                <w:color w:val="auto"/>
              </w:rPr>
              <w:t>3,454</w:t>
            </w:r>
          </w:p>
        </w:tc>
        <w:tc>
          <w:tcPr>
            <w:tcW w:w="1740" w:type="dxa"/>
            <w:vAlign w:val="bottom"/>
            <w:tcBorders>
              <w:bottom w:val="single" w:sz="8" w:color="D7E8F5"/>
            </w:tcBorders>
            <w:shd w:val="clear" w:color="auto" w:fill="D7E8F5"/>
          </w:tcPr>
          <w:p>
            <w:pPr>
              <w:ind w:left="820"/>
              <w:spacing w:after="0"/>
              <w:rPr>
                <w:sz w:val="20"/>
                <w:szCs w:val="20"/>
                <w:color w:val="auto"/>
              </w:rPr>
            </w:pPr>
            <w:r>
              <w:rPr>
                <w:rFonts w:ascii="Arial" w:cs="Arial" w:eastAsia="Arial" w:hAnsi="Arial"/>
                <w:sz w:val="14"/>
                <w:szCs w:val="14"/>
                <w:color w:val="auto"/>
              </w:rPr>
              <w:t>399,710</w:t>
            </w:r>
          </w:p>
        </w:tc>
      </w:tr>
      <w:tr>
        <w:trPr>
          <w:trHeight w:val="235"/>
        </w:trPr>
        <w:tc>
          <w:tcPr>
            <w:tcW w:w="6480" w:type="dxa"/>
            <w:vAlign w:val="bottom"/>
          </w:tcPr>
          <w:p>
            <w:pPr>
              <w:spacing w:after="0"/>
              <w:rPr>
                <w:sz w:val="20"/>
                <w:szCs w:val="20"/>
                <w:color w:val="auto"/>
              </w:rPr>
            </w:pPr>
            <w:r>
              <w:rPr>
                <w:rFonts w:ascii="Arial" w:cs="Arial" w:eastAsia="Arial" w:hAnsi="Arial"/>
                <w:sz w:val="14"/>
                <w:szCs w:val="14"/>
                <w:color w:val="auto"/>
              </w:rPr>
              <w:t> Amy W. Schulman</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5/18/2023</w:t>
            </w:r>
          </w:p>
        </w:tc>
        <w:tc>
          <w:tcPr>
            <w:tcW w:w="1580" w:type="dxa"/>
            <w:vAlign w:val="bottom"/>
          </w:tcPr>
          <w:p>
            <w:pPr>
              <w:jc w:val="right"/>
              <w:ind w:right="408"/>
              <w:spacing w:after="0"/>
              <w:rPr>
                <w:sz w:val="20"/>
                <w:szCs w:val="20"/>
                <w:color w:val="auto"/>
              </w:rPr>
            </w:pPr>
            <w:r>
              <w:rPr>
                <w:rFonts w:ascii="Arial" w:cs="Arial" w:eastAsia="Arial" w:hAnsi="Arial"/>
                <w:sz w:val="14"/>
                <w:szCs w:val="14"/>
                <w:color w:val="auto"/>
              </w:rPr>
              <w:t>3,454</w:t>
            </w:r>
          </w:p>
        </w:tc>
        <w:tc>
          <w:tcPr>
            <w:tcW w:w="1740" w:type="dxa"/>
            <w:vAlign w:val="bottom"/>
          </w:tcPr>
          <w:p>
            <w:pPr>
              <w:ind w:left="820"/>
              <w:spacing w:after="0"/>
              <w:rPr>
                <w:sz w:val="20"/>
                <w:szCs w:val="20"/>
                <w:color w:val="auto"/>
              </w:rPr>
            </w:pPr>
            <w:r>
              <w:rPr>
                <w:rFonts w:ascii="Arial" w:cs="Arial" w:eastAsia="Arial" w:hAnsi="Arial"/>
                <w:sz w:val="14"/>
                <w:szCs w:val="14"/>
                <w:color w:val="auto"/>
              </w:rPr>
              <w:t>399,710</w:t>
            </w:r>
          </w:p>
        </w:tc>
      </w:tr>
      <w:tr>
        <w:trPr>
          <w:trHeight w:val="35"/>
        </w:trPr>
        <w:tc>
          <w:tcPr>
            <w:tcW w:w="64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0"/>
        </w:trPr>
        <w:tc>
          <w:tcPr>
            <w:tcW w:w="64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4"/>
                <w:szCs w:val="14"/>
                <w:color w:val="auto"/>
              </w:rPr>
              <w:t> Phillip A. Sharp, Ph.D.</w:t>
            </w:r>
          </w:p>
        </w:tc>
        <w:tc>
          <w:tcPr>
            <w:tcW w:w="122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5/18/2023</w:t>
            </w:r>
          </w:p>
        </w:tc>
        <w:tc>
          <w:tcPr>
            <w:tcW w:w="1580" w:type="dxa"/>
            <w:vAlign w:val="bottom"/>
            <w:tcBorders>
              <w:bottom w:val="single" w:sz="8" w:color="D7E8F5"/>
            </w:tcBorders>
            <w:shd w:val="clear" w:color="auto" w:fill="D7E8F5"/>
          </w:tcPr>
          <w:p>
            <w:pPr>
              <w:jc w:val="right"/>
              <w:ind w:right="408"/>
              <w:spacing w:after="0"/>
              <w:rPr>
                <w:sz w:val="20"/>
                <w:szCs w:val="20"/>
                <w:color w:val="auto"/>
              </w:rPr>
            </w:pPr>
            <w:r>
              <w:rPr>
                <w:rFonts w:ascii="Arial" w:cs="Arial" w:eastAsia="Arial" w:hAnsi="Arial"/>
                <w:sz w:val="14"/>
                <w:szCs w:val="14"/>
                <w:color w:val="auto"/>
              </w:rPr>
              <w:t>3,454</w:t>
            </w:r>
          </w:p>
        </w:tc>
        <w:tc>
          <w:tcPr>
            <w:tcW w:w="1740" w:type="dxa"/>
            <w:vAlign w:val="bottom"/>
            <w:tcBorders>
              <w:bottom w:val="single" w:sz="8" w:color="D7E8F5"/>
            </w:tcBorders>
            <w:shd w:val="clear" w:color="auto" w:fill="D7E8F5"/>
          </w:tcPr>
          <w:p>
            <w:pPr>
              <w:ind w:left="820"/>
              <w:spacing w:after="0"/>
              <w:rPr>
                <w:sz w:val="20"/>
                <w:szCs w:val="20"/>
                <w:color w:val="auto"/>
              </w:rPr>
            </w:pPr>
            <w:r>
              <w:rPr>
                <w:rFonts w:ascii="Arial" w:cs="Arial" w:eastAsia="Arial" w:hAnsi="Arial"/>
                <w:sz w:val="14"/>
                <w:szCs w:val="14"/>
                <w:color w:val="auto"/>
              </w:rPr>
              <w:t>399,710</w:t>
            </w:r>
          </w:p>
        </w:tc>
      </w:tr>
      <w:tr>
        <w:trPr>
          <w:trHeight w:val="235"/>
        </w:trPr>
        <w:tc>
          <w:tcPr>
            <w:tcW w:w="6480" w:type="dxa"/>
            <w:vAlign w:val="bottom"/>
          </w:tcPr>
          <w:p>
            <w:pPr>
              <w:spacing w:after="0"/>
              <w:rPr>
                <w:sz w:val="20"/>
                <w:szCs w:val="20"/>
                <w:color w:val="auto"/>
              </w:rPr>
            </w:pPr>
            <w:r>
              <w:rPr>
                <w:rFonts w:ascii="Arial" w:cs="Arial" w:eastAsia="Arial" w:hAnsi="Arial"/>
                <w:sz w:val="14"/>
                <w:szCs w:val="14"/>
                <w:color w:val="auto"/>
              </w:rPr>
              <w:t> Elliott Sigal, M.D., Ph.D.</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5/18/2023</w:t>
            </w:r>
          </w:p>
        </w:tc>
        <w:tc>
          <w:tcPr>
            <w:tcW w:w="1580" w:type="dxa"/>
            <w:vAlign w:val="bottom"/>
          </w:tcPr>
          <w:p>
            <w:pPr>
              <w:jc w:val="right"/>
              <w:ind w:right="408"/>
              <w:spacing w:after="0"/>
              <w:rPr>
                <w:sz w:val="20"/>
                <w:szCs w:val="20"/>
                <w:color w:val="auto"/>
              </w:rPr>
            </w:pPr>
            <w:r>
              <w:rPr>
                <w:rFonts w:ascii="Arial" w:cs="Arial" w:eastAsia="Arial" w:hAnsi="Arial"/>
                <w:sz w:val="14"/>
                <w:szCs w:val="14"/>
                <w:color w:val="auto"/>
              </w:rPr>
              <w:t>3,454</w:t>
            </w:r>
          </w:p>
        </w:tc>
        <w:tc>
          <w:tcPr>
            <w:tcW w:w="1740" w:type="dxa"/>
            <w:vAlign w:val="bottom"/>
          </w:tcPr>
          <w:p>
            <w:pPr>
              <w:ind w:left="820"/>
              <w:spacing w:after="0"/>
              <w:rPr>
                <w:sz w:val="20"/>
                <w:szCs w:val="20"/>
                <w:color w:val="auto"/>
              </w:rPr>
            </w:pPr>
            <w:r>
              <w:rPr>
                <w:rFonts w:ascii="Arial" w:cs="Arial" w:eastAsia="Arial" w:hAnsi="Arial"/>
                <w:sz w:val="14"/>
                <w:szCs w:val="14"/>
                <w:color w:val="auto"/>
              </w:rPr>
              <w:t>399,710</w:t>
            </w:r>
          </w:p>
        </w:tc>
      </w:tr>
      <w:tr>
        <w:trPr>
          <w:trHeight w:val="35"/>
        </w:trPr>
        <w:tc>
          <w:tcPr>
            <w:tcW w:w="6480" w:type="dxa"/>
            <w:vAlign w:val="bottom"/>
            <w:tcBorders>
              <w:bottom w:val="single" w:sz="8" w:color="2275B5"/>
            </w:tcBorders>
          </w:tcPr>
          <w:p>
            <w:pPr>
              <w:spacing w:after="0"/>
              <w:rPr>
                <w:sz w:val="3"/>
                <w:szCs w:val="3"/>
                <w:color w:val="auto"/>
              </w:rPr>
            </w:pPr>
          </w:p>
        </w:tc>
        <w:tc>
          <w:tcPr>
            <w:tcW w:w="1220" w:type="dxa"/>
            <w:vAlign w:val="bottom"/>
            <w:tcBorders>
              <w:bottom w:val="single" w:sz="8" w:color="2275B5"/>
            </w:tcBorders>
          </w:tcPr>
          <w:p>
            <w:pPr>
              <w:spacing w:after="0"/>
              <w:rPr>
                <w:sz w:val="3"/>
                <w:szCs w:val="3"/>
                <w:color w:val="auto"/>
              </w:rPr>
            </w:pPr>
          </w:p>
        </w:tc>
        <w:tc>
          <w:tcPr>
            <w:tcW w:w="1580" w:type="dxa"/>
            <w:vAlign w:val="bottom"/>
            <w:tcBorders>
              <w:bottom w:val="single" w:sz="8" w:color="2275B5"/>
            </w:tcBorders>
          </w:tcPr>
          <w:p>
            <w:pPr>
              <w:spacing w:after="0"/>
              <w:rPr>
                <w:sz w:val="3"/>
                <w:szCs w:val="3"/>
                <w:color w:val="auto"/>
              </w:rPr>
            </w:pPr>
          </w:p>
        </w:tc>
        <w:tc>
          <w:tcPr>
            <w:tcW w:w="1740" w:type="dxa"/>
            <w:vAlign w:val="bottom"/>
            <w:tcBorders>
              <w:bottom w:val="single" w:sz="8" w:color="2275B5"/>
            </w:tcBorders>
          </w:tcPr>
          <w:p>
            <w:pPr>
              <w:spacing w:after="0"/>
              <w:rPr>
                <w:sz w:val="3"/>
                <w:szCs w:val="3"/>
                <w:color w:val="auto"/>
              </w:rPr>
            </w:pPr>
          </w:p>
        </w:tc>
      </w:tr>
    </w:tbl>
    <w:p>
      <w:pPr>
        <w:spacing w:after="0" w:line="107" w:lineRule="exact"/>
        <w:rPr>
          <w:sz w:val="20"/>
          <w:szCs w:val="20"/>
          <w:color w:val="auto"/>
        </w:rPr>
      </w:pPr>
    </w:p>
    <w:p>
      <w:pPr>
        <w:ind w:left="1200" w:right="140" w:hanging="436"/>
        <w:spacing w:after="0" w:line="253" w:lineRule="auto"/>
        <w:tabs>
          <w:tab w:leader="none" w:pos="12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grant date fair value calculated in accordance with FASB ASC Topic 718 represents the value of stock options granted during 2023. The grant date fair value per option was $115.72 for the options granted on May 18, 2023, $140.35 for the options granted to Dr. Bertozzi on January 5, 2023, and $121.07 for the options granted to Mr. Kellogg on March 7, 2023. These amounts represent the accounting cost for the options. There can be no assurance that the grant date fair value will ever be realized. Whether, and to what extent, a non-employee director realizes value will depend on our actual operating performance, stock price fluctuations and the non-employee director’s continued service on our board. The exercise price for the stock options granted on May 18, 2023, January 5, 2023, and March 7, 2023 is $189.87, $225.68 and $194.34, respectively.</w:t>
      </w:r>
    </w:p>
    <w:p>
      <w:pPr>
        <w:spacing w:after="0" w:line="86" w:lineRule="exact"/>
        <w:rPr>
          <w:rFonts w:ascii="Arial" w:cs="Arial" w:eastAsia="Arial" w:hAnsi="Arial"/>
          <w:sz w:val="16"/>
          <w:szCs w:val="16"/>
          <w:color w:val="auto"/>
        </w:rPr>
      </w:pPr>
    </w:p>
    <w:p>
      <w:pPr>
        <w:ind w:left="1200" w:hanging="436"/>
        <w:spacing w:after="0"/>
        <w:tabs>
          <w:tab w:leader="none" w:pos="12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Dr. Bertozzi was granted a stock option award upon the effective date of her election to our board.</w:t>
      </w:r>
    </w:p>
    <w:p>
      <w:pPr>
        <w:spacing w:after="0" w:line="126" w:lineRule="exact"/>
        <w:rPr>
          <w:rFonts w:ascii="Arial" w:cs="Arial" w:eastAsia="Arial" w:hAnsi="Arial"/>
          <w:sz w:val="16"/>
          <w:szCs w:val="16"/>
          <w:color w:val="auto"/>
        </w:rPr>
      </w:pPr>
    </w:p>
    <w:p>
      <w:pPr>
        <w:ind w:left="1200" w:hanging="436"/>
        <w:spacing w:after="0"/>
        <w:tabs>
          <w:tab w:leader="none" w:pos="12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Mr. Kellogg was granted a stock option award upon the effective date of his election to our board.</w:t>
      </w:r>
    </w:p>
    <w:p>
      <w:pPr>
        <w:spacing w:after="0" w:line="126" w:lineRule="exact"/>
        <w:rPr>
          <w:rFonts w:ascii="Arial" w:cs="Arial" w:eastAsia="Arial" w:hAnsi="Arial"/>
          <w:sz w:val="16"/>
          <w:szCs w:val="16"/>
          <w:color w:val="auto"/>
        </w:rPr>
      </w:pPr>
    </w:p>
    <w:p>
      <w:pPr>
        <w:ind w:left="1200" w:right="160" w:hanging="436"/>
        <w:spacing w:after="0" w:line="259" w:lineRule="auto"/>
        <w:tabs>
          <w:tab w:leader="none" w:pos="12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Amount represents the modification date value of time-based stock options reflecting the reduction in fair value recognized for stock options that vested upon the effective date of Mr. Fanucci’s resignation. Under the applicable accounting guidance, compensation cost to be recognized for equity awards that vest only as a result of a modification is based on the modification date value instead of the grant date fair value.</w:t>
      </w:r>
    </w:p>
    <w:p>
      <w:pPr>
        <w:spacing w:after="0" w:line="83" w:lineRule="exact"/>
        <w:rPr>
          <w:rFonts w:ascii="Arial" w:cs="Arial" w:eastAsia="Arial" w:hAnsi="Arial"/>
          <w:sz w:val="16"/>
          <w:szCs w:val="16"/>
          <w:color w:val="auto"/>
        </w:rPr>
      </w:pPr>
    </w:p>
    <w:p>
      <w:pPr>
        <w:ind w:left="760" w:hanging="644"/>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 Bertozzi was elected to our board of directors effective January 5, 2023.</w:t>
      </w:r>
    </w:p>
    <w:p>
      <w:pPr>
        <w:spacing w:after="0" w:line="126" w:lineRule="exact"/>
        <w:rPr>
          <w:rFonts w:ascii="Arial" w:cs="Arial" w:eastAsia="Arial" w:hAnsi="Arial"/>
          <w:sz w:val="16"/>
          <w:szCs w:val="16"/>
          <w:color w:val="auto"/>
        </w:rPr>
      </w:pPr>
    </w:p>
    <w:p>
      <w:pPr>
        <w:ind w:left="760" w:hanging="644"/>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early January 2023, Mr. Bonney transitioned from the role of executive chair of our board to serve as a non-independent director on the board.</w:t>
      </w:r>
    </w:p>
    <w:p>
      <w:pPr>
        <w:spacing w:after="0" w:line="126" w:lineRule="exact"/>
        <w:rPr>
          <w:rFonts w:ascii="Arial" w:cs="Arial" w:eastAsia="Arial" w:hAnsi="Arial"/>
          <w:sz w:val="16"/>
          <w:szCs w:val="16"/>
          <w:color w:val="auto"/>
        </w:rPr>
      </w:pPr>
    </w:p>
    <w:p>
      <w:pPr>
        <w:ind w:left="760" w:right="480" w:hanging="644"/>
        <w:spacing w:after="0" w:line="266"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Ms. Fanucci resigned from our board of directors effective September 29, 2023. The amount reported in the Option Awards column for Ms. Fanucci also includes the modification date value of time-based stock options reflecting the reduction in fair value recognized for stock options that vested upon the effective date of her resignation.</w:t>
      </w:r>
    </w:p>
    <w:p>
      <w:pPr>
        <w:spacing w:after="0" w:line="76" w:lineRule="exact"/>
        <w:rPr>
          <w:rFonts w:ascii="Arial" w:cs="Arial" w:eastAsia="Arial" w:hAnsi="Arial"/>
          <w:sz w:val="16"/>
          <w:szCs w:val="16"/>
          <w:color w:val="auto"/>
        </w:rPr>
      </w:pPr>
    </w:p>
    <w:p>
      <w:pPr>
        <w:ind w:left="760" w:hanging="644"/>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Kellogg was elected to our board of directors effective March 7, 2023.</w:t>
      </w:r>
    </w:p>
    <w:p>
      <w:pPr>
        <w:spacing w:after="0" w:line="126" w:lineRule="exact"/>
        <w:rPr>
          <w:rFonts w:ascii="Arial" w:cs="Arial" w:eastAsia="Arial" w:hAnsi="Arial"/>
          <w:sz w:val="16"/>
          <w:szCs w:val="16"/>
          <w:color w:val="auto"/>
        </w:rPr>
      </w:pPr>
    </w:p>
    <w:p>
      <w:pPr>
        <w:ind w:left="760" w:hanging="644"/>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amount reflects compensation paid to Mr. Bonney for service as executive chair during a portion of 2023.</w:t>
      </w:r>
    </w:p>
    <w:p>
      <w:pPr>
        <w:spacing w:after="0" w:line="126" w:lineRule="exact"/>
        <w:rPr>
          <w:rFonts w:ascii="Arial" w:cs="Arial" w:eastAsia="Arial" w:hAnsi="Arial"/>
          <w:sz w:val="16"/>
          <w:szCs w:val="16"/>
          <w:color w:val="auto"/>
        </w:rPr>
      </w:pPr>
    </w:p>
    <w:p>
      <w:pPr>
        <w:ind w:left="760" w:hanging="644"/>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amount reflects compensation paid to Dr. Sharp for service as the chair of our scientific advisory board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320" w:firstLine="771"/>
        <w:spacing w:after="0" w:line="257" w:lineRule="auto"/>
        <w:rPr>
          <w:sz w:val="20"/>
          <w:szCs w:val="20"/>
          <w:color w:val="auto"/>
        </w:rPr>
      </w:pPr>
      <w:r>
        <w:rPr>
          <w:rFonts w:ascii="Arial" w:cs="Arial" w:eastAsia="Arial" w:hAnsi="Arial"/>
          <w:sz w:val="20"/>
          <w:szCs w:val="20"/>
          <w:color w:val="auto"/>
        </w:rPr>
        <w:t>The following table summarizes the equity awards that were outstanding as of December 31, 2023 for each of our non-employee directors who served on our board during 2023:</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D3060"/>
        </w:rPr>
        <w:t>Director Outstanding Equity Awards at Fiscal Year-End for 2023</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4720" w:type="dxa"/>
            <w:vAlign w:val="bottom"/>
            <w:shd w:val="clear" w:color="auto" w:fill="1D3060"/>
          </w:tcPr>
          <w:p>
            <w:pPr>
              <w:spacing w:after="0"/>
              <w:rPr>
                <w:sz w:val="20"/>
                <w:szCs w:val="20"/>
                <w:color w:val="auto"/>
              </w:rPr>
            </w:pPr>
          </w:p>
        </w:tc>
        <w:tc>
          <w:tcPr>
            <w:tcW w:w="4220" w:type="dxa"/>
            <w:vAlign w:val="bottom"/>
            <w:gridSpan w:val="2"/>
            <w:shd w:val="clear" w:color="auto" w:fill="1D3060"/>
          </w:tcPr>
          <w:p>
            <w:pPr>
              <w:ind w:left="1600"/>
              <w:spacing w:after="0"/>
              <w:rPr>
                <w:sz w:val="20"/>
                <w:szCs w:val="20"/>
                <w:color w:val="auto"/>
              </w:rPr>
            </w:pPr>
            <w:r>
              <w:rPr>
                <w:rFonts w:ascii="Arial" w:cs="Arial" w:eastAsia="Arial" w:hAnsi="Arial"/>
                <w:sz w:val="14"/>
                <w:szCs w:val="14"/>
                <w:color w:val="FFFFFF"/>
              </w:rPr>
              <w:t>Option Awards(1)</w:t>
            </w:r>
          </w:p>
        </w:tc>
        <w:tc>
          <w:tcPr>
            <w:tcW w:w="2080" w:type="dxa"/>
            <w:vAlign w:val="bottom"/>
            <w:shd w:val="clear" w:color="auto" w:fill="1D3060"/>
          </w:tcPr>
          <w:p>
            <w:pPr>
              <w:jc w:val="center"/>
              <w:spacing w:after="0"/>
              <w:rPr>
                <w:sz w:val="20"/>
                <w:szCs w:val="20"/>
                <w:color w:val="auto"/>
              </w:rPr>
            </w:pPr>
            <w:r>
              <w:rPr>
                <w:rFonts w:ascii="Arial" w:cs="Arial" w:eastAsia="Arial" w:hAnsi="Arial"/>
                <w:sz w:val="14"/>
                <w:szCs w:val="14"/>
                <w:color w:val="FFFFFF"/>
              </w:rPr>
              <w:t>Stock Awards</w:t>
            </w:r>
          </w:p>
        </w:tc>
      </w:tr>
      <w:tr>
        <w:trPr>
          <w:trHeight w:val="188"/>
        </w:trPr>
        <w:tc>
          <w:tcPr>
            <w:tcW w:w="4720" w:type="dxa"/>
            <w:vAlign w:val="bottom"/>
            <w:shd w:val="clear" w:color="auto" w:fill="1D3060"/>
          </w:tcPr>
          <w:p>
            <w:pPr>
              <w:spacing w:after="0"/>
              <w:rPr>
                <w:sz w:val="16"/>
                <w:szCs w:val="16"/>
                <w:color w:val="auto"/>
              </w:rPr>
            </w:pPr>
          </w:p>
        </w:tc>
        <w:tc>
          <w:tcPr>
            <w:tcW w:w="2440" w:type="dxa"/>
            <w:vAlign w:val="bottom"/>
            <w:shd w:val="clear" w:color="auto" w:fill="1D3060"/>
          </w:tcPr>
          <w:p>
            <w:pPr>
              <w:spacing w:after="0"/>
              <w:rPr>
                <w:sz w:val="16"/>
                <w:szCs w:val="16"/>
                <w:color w:val="auto"/>
              </w:rPr>
            </w:pPr>
          </w:p>
        </w:tc>
        <w:tc>
          <w:tcPr>
            <w:tcW w:w="1780" w:type="dxa"/>
            <w:vAlign w:val="bottom"/>
            <w:shd w:val="clear" w:color="auto" w:fill="1D3060"/>
          </w:tcPr>
          <w:p>
            <w:pPr>
              <w:jc w:val="center"/>
              <w:spacing w:after="0"/>
              <w:rPr>
                <w:sz w:val="20"/>
                <w:szCs w:val="20"/>
                <w:color w:val="auto"/>
              </w:rPr>
            </w:pPr>
            <w:r>
              <w:rPr>
                <w:rFonts w:ascii="Arial" w:cs="Arial" w:eastAsia="Arial" w:hAnsi="Arial"/>
                <w:sz w:val="14"/>
                <w:szCs w:val="14"/>
                <w:color w:val="FFFFFF"/>
              </w:rPr>
              <w:t>Number of Shares</w:t>
            </w:r>
          </w:p>
        </w:tc>
        <w:tc>
          <w:tcPr>
            <w:tcW w:w="2080" w:type="dxa"/>
            <w:vAlign w:val="bottom"/>
            <w:shd w:val="clear" w:color="auto" w:fill="1D3060"/>
          </w:tcPr>
          <w:p>
            <w:pPr>
              <w:spacing w:after="0"/>
              <w:rPr>
                <w:sz w:val="16"/>
                <w:szCs w:val="16"/>
                <w:color w:val="auto"/>
              </w:rPr>
            </w:pPr>
          </w:p>
        </w:tc>
      </w:tr>
      <w:tr>
        <w:trPr>
          <w:trHeight w:val="162"/>
        </w:trPr>
        <w:tc>
          <w:tcPr>
            <w:tcW w:w="4720" w:type="dxa"/>
            <w:vAlign w:val="bottom"/>
            <w:shd w:val="clear" w:color="auto" w:fill="1D3060"/>
          </w:tcPr>
          <w:p>
            <w:pPr>
              <w:spacing w:after="0"/>
              <w:rPr>
                <w:sz w:val="14"/>
                <w:szCs w:val="14"/>
                <w:color w:val="auto"/>
              </w:rPr>
            </w:pPr>
          </w:p>
        </w:tc>
        <w:tc>
          <w:tcPr>
            <w:tcW w:w="2440" w:type="dxa"/>
            <w:vAlign w:val="bottom"/>
            <w:shd w:val="clear" w:color="auto" w:fill="1D3060"/>
          </w:tcPr>
          <w:p>
            <w:pPr>
              <w:jc w:val="center"/>
              <w:ind w:left="48"/>
              <w:spacing w:after="0"/>
              <w:rPr>
                <w:sz w:val="20"/>
                <w:szCs w:val="20"/>
                <w:color w:val="auto"/>
              </w:rPr>
            </w:pPr>
            <w:r>
              <w:rPr>
                <w:rFonts w:ascii="Arial" w:cs="Arial" w:eastAsia="Arial" w:hAnsi="Arial"/>
                <w:sz w:val="14"/>
                <w:szCs w:val="14"/>
                <w:color w:val="FFFFFF"/>
              </w:rPr>
              <w:t>Number of Shares</w:t>
            </w:r>
          </w:p>
        </w:tc>
        <w:tc>
          <w:tcPr>
            <w:tcW w:w="1780" w:type="dxa"/>
            <w:vAlign w:val="bottom"/>
            <w:shd w:val="clear" w:color="auto" w:fill="1D3060"/>
          </w:tcPr>
          <w:p>
            <w:pPr>
              <w:jc w:val="center"/>
              <w:spacing w:after="0"/>
              <w:rPr>
                <w:sz w:val="20"/>
                <w:szCs w:val="20"/>
                <w:color w:val="auto"/>
              </w:rPr>
            </w:pPr>
            <w:r>
              <w:rPr>
                <w:rFonts w:ascii="Arial" w:cs="Arial" w:eastAsia="Arial" w:hAnsi="Arial"/>
                <w:sz w:val="14"/>
                <w:szCs w:val="14"/>
                <w:color w:val="FFFFFF"/>
              </w:rPr>
              <w:t>Underlying Unexercised</w:t>
            </w:r>
          </w:p>
        </w:tc>
        <w:tc>
          <w:tcPr>
            <w:tcW w:w="2080" w:type="dxa"/>
            <w:vAlign w:val="bottom"/>
            <w:shd w:val="clear" w:color="auto" w:fill="1D3060"/>
          </w:tcPr>
          <w:p>
            <w:pPr>
              <w:jc w:val="center"/>
              <w:spacing w:after="0"/>
              <w:rPr>
                <w:sz w:val="20"/>
                <w:szCs w:val="20"/>
                <w:color w:val="auto"/>
              </w:rPr>
            </w:pPr>
            <w:r>
              <w:rPr>
                <w:rFonts w:ascii="Arial" w:cs="Arial" w:eastAsia="Arial" w:hAnsi="Arial"/>
                <w:sz w:val="14"/>
                <w:szCs w:val="14"/>
                <w:color w:val="FFFFFF"/>
              </w:rPr>
              <w:t>Number of Unearned Shares,</w:t>
            </w:r>
          </w:p>
        </w:tc>
      </w:tr>
      <w:tr>
        <w:trPr>
          <w:trHeight w:val="162"/>
        </w:trPr>
        <w:tc>
          <w:tcPr>
            <w:tcW w:w="4720" w:type="dxa"/>
            <w:vAlign w:val="bottom"/>
            <w:shd w:val="clear" w:color="auto" w:fill="1D3060"/>
          </w:tcPr>
          <w:p>
            <w:pPr>
              <w:spacing w:after="0"/>
              <w:rPr>
                <w:sz w:val="14"/>
                <w:szCs w:val="14"/>
                <w:color w:val="auto"/>
              </w:rPr>
            </w:pPr>
          </w:p>
        </w:tc>
        <w:tc>
          <w:tcPr>
            <w:tcW w:w="2440" w:type="dxa"/>
            <w:vAlign w:val="bottom"/>
            <w:shd w:val="clear" w:color="auto" w:fill="1D3060"/>
          </w:tcPr>
          <w:p>
            <w:pPr>
              <w:jc w:val="center"/>
              <w:ind w:left="28"/>
              <w:spacing w:after="0"/>
              <w:rPr>
                <w:sz w:val="20"/>
                <w:szCs w:val="20"/>
                <w:color w:val="auto"/>
              </w:rPr>
            </w:pPr>
            <w:r>
              <w:rPr>
                <w:rFonts w:ascii="Arial" w:cs="Arial" w:eastAsia="Arial" w:hAnsi="Arial"/>
                <w:sz w:val="14"/>
                <w:szCs w:val="14"/>
                <w:color w:val="FFFFFF"/>
              </w:rPr>
              <w:t>Underlying Unexercised Options</w:t>
            </w:r>
          </w:p>
        </w:tc>
        <w:tc>
          <w:tcPr>
            <w:tcW w:w="1780" w:type="dxa"/>
            <w:vAlign w:val="bottom"/>
            <w:shd w:val="clear" w:color="auto" w:fill="1D3060"/>
          </w:tcPr>
          <w:p>
            <w:pPr>
              <w:jc w:val="center"/>
              <w:spacing w:after="0"/>
              <w:rPr>
                <w:sz w:val="20"/>
                <w:szCs w:val="20"/>
                <w:color w:val="auto"/>
              </w:rPr>
            </w:pPr>
            <w:r>
              <w:rPr>
                <w:rFonts w:ascii="Arial" w:cs="Arial" w:eastAsia="Arial" w:hAnsi="Arial"/>
                <w:sz w:val="14"/>
                <w:szCs w:val="14"/>
                <w:color w:val="FFFFFF"/>
              </w:rPr>
              <w:t>Options for</w:t>
            </w:r>
          </w:p>
        </w:tc>
        <w:tc>
          <w:tcPr>
            <w:tcW w:w="2080" w:type="dxa"/>
            <w:vAlign w:val="bottom"/>
            <w:shd w:val="clear" w:color="auto" w:fill="1D3060"/>
          </w:tcPr>
          <w:p>
            <w:pPr>
              <w:jc w:val="center"/>
              <w:spacing w:after="0"/>
              <w:rPr>
                <w:sz w:val="20"/>
                <w:szCs w:val="20"/>
                <w:color w:val="auto"/>
              </w:rPr>
            </w:pPr>
            <w:r>
              <w:rPr>
                <w:rFonts w:ascii="Arial" w:cs="Arial" w:eastAsia="Arial" w:hAnsi="Arial"/>
                <w:sz w:val="14"/>
                <w:szCs w:val="14"/>
                <w:color w:val="FFFFFF"/>
              </w:rPr>
              <w:t>Units or Other Rights That</w:t>
            </w:r>
          </w:p>
        </w:tc>
      </w:tr>
      <w:tr>
        <w:trPr>
          <w:trHeight w:val="219"/>
        </w:trPr>
        <w:tc>
          <w:tcPr>
            <w:tcW w:w="4720" w:type="dxa"/>
            <w:vAlign w:val="bottom"/>
            <w:tcBorders>
              <w:bottom w:val="single" w:sz="8" w:color="1D3060"/>
            </w:tcBorders>
            <w:shd w:val="clear" w:color="auto" w:fill="1D3060"/>
          </w:tcPr>
          <w:p>
            <w:pPr>
              <w:spacing w:after="0"/>
              <w:rPr>
                <w:sz w:val="20"/>
                <w:szCs w:val="20"/>
                <w:color w:val="auto"/>
              </w:rPr>
            </w:pPr>
            <w:r>
              <w:rPr>
                <w:rFonts w:ascii="Arial" w:cs="Arial" w:eastAsia="Arial" w:hAnsi="Arial"/>
                <w:sz w:val="14"/>
                <w:szCs w:val="14"/>
                <w:color w:val="FFFFFF"/>
              </w:rPr>
              <w:t>  Name</w:t>
            </w:r>
          </w:p>
        </w:tc>
        <w:tc>
          <w:tcPr>
            <w:tcW w:w="2440" w:type="dxa"/>
            <w:vAlign w:val="bottom"/>
            <w:tcBorders>
              <w:bottom w:val="single" w:sz="8" w:color="1D3060"/>
            </w:tcBorders>
            <w:shd w:val="clear" w:color="auto" w:fill="1D3060"/>
          </w:tcPr>
          <w:p>
            <w:pPr>
              <w:jc w:val="center"/>
              <w:ind w:left="48"/>
              <w:spacing w:after="0"/>
              <w:rPr>
                <w:sz w:val="20"/>
                <w:szCs w:val="20"/>
                <w:color w:val="auto"/>
              </w:rPr>
            </w:pPr>
            <w:r>
              <w:rPr>
                <w:rFonts w:ascii="Arial" w:cs="Arial" w:eastAsia="Arial" w:hAnsi="Arial"/>
                <w:sz w:val="14"/>
                <w:szCs w:val="14"/>
                <w:color w:val="FFFFFF"/>
              </w:rPr>
              <w:t>for Board Service (#)</w:t>
            </w:r>
          </w:p>
        </w:tc>
        <w:tc>
          <w:tcPr>
            <w:tcW w:w="178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color w:val="FFFFFF"/>
              </w:rPr>
              <w:t>Non-Board Service (#)</w:t>
            </w:r>
          </w:p>
        </w:tc>
        <w:tc>
          <w:tcPr>
            <w:tcW w:w="208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color w:val="FFFFFF"/>
              </w:rPr>
              <w:t>Have Not Vested (#)</w:t>
            </w:r>
          </w:p>
        </w:tc>
      </w:tr>
      <w:tr>
        <w:trPr>
          <w:trHeight w:val="235"/>
        </w:trPr>
        <w:tc>
          <w:tcPr>
            <w:tcW w:w="4720" w:type="dxa"/>
            <w:vAlign w:val="bottom"/>
            <w:shd w:val="clear" w:color="auto" w:fill="D7E8F5"/>
          </w:tcPr>
          <w:p>
            <w:pPr>
              <w:spacing w:after="0"/>
              <w:rPr>
                <w:sz w:val="20"/>
                <w:szCs w:val="20"/>
                <w:color w:val="auto"/>
              </w:rPr>
            </w:pPr>
            <w:r>
              <w:rPr>
                <w:rFonts w:ascii="Arial" w:cs="Arial" w:eastAsia="Arial" w:hAnsi="Arial"/>
                <w:sz w:val="14"/>
                <w:szCs w:val="14"/>
                <w:color w:val="auto"/>
              </w:rPr>
              <w:t>  Dennis A. Ausiello, M.D</w:t>
            </w:r>
          </w:p>
        </w:tc>
        <w:tc>
          <w:tcPr>
            <w:tcW w:w="2440" w:type="dxa"/>
            <w:vAlign w:val="bottom"/>
            <w:shd w:val="clear" w:color="auto" w:fill="D7E8F5"/>
          </w:tcPr>
          <w:p>
            <w:pPr>
              <w:jc w:val="right"/>
              <w:ind w:right="648"/>
              <w:spacing w:after="0"/>
              <w:rPr>
                <w:sz w:val="20"/>
                <w:szCs w:val="20"/>
                <w:color w:val="auto"/>
              </w:rPr>
            </w:pPr>
            <w:r>
              <w:rPr>
                <w:rFonts w:ascii="Arial" w:cs="Arial" w:eastAsia="Arial" w:hAnsi="Arial"/>
                <w:sz w:val="14"/>
                <w:szCs w:val="14"/>
                <w:color w:val="auto"/>
              </w:rPr>
              <w:t>46,470</w:t>
            </w:r>
          </w:p>
        </w:tc>
        <w:tc>
          <w:tcPr>
            <w:tcW w:w="1780" w:type="dxa"/>
            <w:vAlign w:val="bottom"/>
            <w:shd w:val="clear" w:color="auto" w:fill="D7E8F5"/>
          </w:tcPr>
          <w:p>
            <w:pPr>
              <w:ind w:left="820"/>
              <w:spacing w:after="0"/>
              <w:rPr>
                <w:sz w:val="20"/>
                <w:szCs w:val="20"/>
                <w:color w:val="auto"/>
              </w:rPr>
            </w:pPr>
            <w:r>
              <w:rPr>
                <w:rFonts w:ascii="Arial" w:cs="Arial" w:eastAsia="Arial" w:hAnsi="Arial"/>
                <w:sz w:val="14"/>
                <w:szCs w:val="14"/>
                <w:color w:val="auto"/>
              </w:rPr>
              <w:t>— </w:t>
            </w:r>
          </w:p>
        </w:tc>
        <w:tc>
          <w:tcPr>
            <w:tcW w:w="2080" w:type="dxa"/>
            <w:vAlign w:val="bottom"/>
            <w:shd w:val="clear" w:color="auto" w:fill="D7E8F5"/>
          </w:tcPr>
          <w:p>
            <w:pPr>
              <w:ind w:left="1100"/>
              <w:spacing w:after="0"/>
              <w:rPr>
                <w:sz w:val="20"/>
                <w:szCs w:val="20"/>
                <w:color w:val="auto"/>
              </w:rPr>
            </w:pPr>
            <w:r>
              <w:rPr>
                <w:rFonts w:ascii="Arial" w:cs="Arial" w:eastAsia="Arial" w:hAnsi="Arial"/>
                <w:sz w:val="14"/>
                <w:szCs w:val="14"/>
                <w:color w:val="auto"/>
              </w:rPr>
              <w:t>—</w:t>
            </w:r>
          </w:p>
        </w:tc>
      </w:tr>
      <w:tr>
        <w:trPr>
          <w:trHeight w:val="35"/>
        </w:trPr>
        <w:tc>
          <w:tcPr>
            <w:tcW w:w="4720" w:type="dxa"/>
            <w:vAlign w:val="bottom"/>
            <w:shd w:val="clear" w:color="auto" w:fill="D7E8F5"/>
          </w:tcPr>
          <w:p>
            <w:pPr>
              <w:spacing w:after="0"/>
              <w:rPr>
                <w:sz w:val="3"/>
                <w:szCs w:val="3"/>
                <w:color w:val="auto"/>
              </w:rPr>
            </w:pPr>
          </w:p>
        </w:tc>
        <w:tc>
          <w:tcPr>
            <w:tcW w:w="2440" w:type="dxa"/>
            <w:vAlign w:val="bottom"/>
            <w:shd w:val="clear" w:color="auto" w:fill="D7E8F5"/>
          </w:tcPr>
          <w:p>
            <w:pPr>
              <w:spacing w:after="0"/>
              <w:rPr>
                <w:sz w:val="3"/>
                <w:szCs w:val="3"/>
                <w:color w:val="auto"/>
              </w:rPr>
            </w:pPr>
          </w:p>
        </w:tc>
        <w:tc>
          <w:tcPr>
            <w:tcW w:w="1780" w:type="dxa"/>
            <w:vAlign w:val="bottom"/>
            <w:shd w:val="clear" w:color="auto" w:fill="D7E8F5"/>
          </w:tcPr>
          <w:p>
            <w:pPr>
              <w:spacing w:after="0"/>
              <w:rPr>
                <w:sz w:val="3"/>
                <w:szCs w:val="3"/>
                <w:color w:val="auto"/>
              </w:rPr>
            </w:pPr>
          </w:p>
        </w:tc>
        <w:tc>
          <w:tcPr>
            <w:tcW w:w="2080" w:type="dxa"/>
            <w:vAlign w:val="bottom"/>
            <w:shd w:val="clear" w:color="auto" w:fill="D7E8F5"/>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-659130</wp:posOffset>
            </wp:positionV>
            <wp:extent cx="38404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Carolyn Bertozzi, Ph.D.(2)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300037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00375"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Michael W. Bonney</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Olivier Brandicourt,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300037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000375"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Margaret A Hamburg, M.D.</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Peter N. Kellogg(3)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3000375"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000375"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David E.I. Pyott</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Colleen F. Reitan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300037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00375"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Amy W. Schulman</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Phillip A. Sharp,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300037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00375"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Elliott Sigal, M.D., Ph.D.</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Marsha H. Fanucci(4)</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jc w:val="right"/>
              <w:ind w:right="708"/>
              <w:spacing w:after="0"/>
              <w:rPr>
                <w:sz w:val="20"/>
                <w:szCs w:val="20"/>
                <w:color w:val="auto"/>
              </w:rPr>
            </w:pPr>
            <w:r>
              <w:rPr>
                <w:rFonts w:ascii="Arial" w:cs="Arial" w:eastAsia="Arial" w:hAnsi="Arial"/>
                <w:sz w:val="14"/>
                <w:szCs w:val="14"/>
                <w:color w:val="auto"/>
              </w:rPr>
              <w:t>4,268</w:t>
            </w:r>
          </w:p>
        </w:tc>
        <w:tc>
          <w:tcPr>
            <w:tcW w:w="1880" w:type="dxa"/>
            <w:vAlign w:val="bottom"/>
          </w:tcPr>
          <w:p>
            <w:pPr>
              <w:ind w:left="760"/>
              <w:spacing w:after="0"/>
              <w:rPr>
                <w:sz w:val="20"/>
                <w:szCs w:val="20"/>
                <w:color w:val="auto"/>
              </w:rPr>
            </w:pPr>
            <w:r>
              <w:rPr>
                <w:rFonts w:ascii="Arial" w:cs="Arial" w:eastAsia="Arial" w:hAnsi="Arial"/>
                <w:sz w:val="14"/>
                <w:szCs w:val="14"/>
                <w:color w:val="auto"/>
              </w:rPr>
              <w:t>— </w:t>
            </w:r>
          </w:p>
        </w:tc>
        <w:tc>
          <w:tcPr>
            <w:tcW w:w="1920" w:type="dxa"/>
            <w:vAlign w:val="bottom"/>
          </w:tcPr>
          <w:p>
            <w:pPr>
              <w:ind w:left="940"/>
              <w:spacing w:after="0"/>
              <w:rPr>
                <w:sz w:val="20"/>
                <w:szCs w:val="20"/>
                <w:color w:val="auto"/>
              </w:rPr>
            </w:pPr>
            <w:r>
              <w:rPr>
                <w:rFonts w:ascii="Arial" w:cs="Arial" w:eastAsia="Arial" w:hAnsi="Arial"/>
                <w:sz w:val="14"/>
                <w:szCs w:val="14"/>
                <w:color w:val="auto"/>
              </w:rPr>
              <w:t>—</w:t>
            </w:r>
          </w:p>
        </w:tc>
      </w:tr>
      <w:tr>
        <w:trPr>
          <w:trHeight w:val="35"/>
        </w:trPr>
        <w:tc>
          <w:tcPr>
            <w:tcW w:w="25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0"/>
        </w:trPr>
        <w:tc>
          <w:tcPr>
            <w:tcW w:w="2500" w:type="dxa"/>
            <w:vAlign w:val="bottom"/>
            <w:tcBorders>
              <w:bottom w:val="single" w:sz="8" w:color="D7E8F5"/>
            </w:tcBorders>
            <w:shd w:val="clear" w:color="auto" w:fill="D7E8F5"/>
          </w:tcPr>
          <w:p>
            <w:pPr>
              <w:jc w:val="right"/>
              <w:ind w:right="708"/>
              <w:spacing w:after="0"/>
              <w:rPr>
                <w:sz w:val="20"/>
                <w:szCs w:val="20"/>
                <w:color w:val="auto"/>
              </w:rPr>
            </w:pPr>
            <w:r>
              <w:rPr>
                <w:rFonts w:ascii="Arial" w:cs="Arial" w:eastAsia="Arial" w:hAnsi="Arial"/>
                <w:sz w:val="14"/>
                <w:szCs w:val="14"/>
                <w:color w:val="auto"/>
              </w:rPr>
              <w:t>63,817</w:t>
            </w:r>
          </w:p>
        </w:tc>
        <w:tc>
          <w:tcPr>
            <w:tcW w:w="1880" w:type="dxa"/>
            <w:vAlign w:val="bottom"/>
            <w:tcBorders>
              <w:bottom w:val="single" w:sz="8" w:color="D7E8F5"/>
            </w:tcBorders>
            <w:shd w:val="clear" w:color="auto" w:fill="D7E8F5"/>
          </w:tcPr>
          <w:p>
            <w:pPr>
              <w:ind w:left="760"/>
              <w:spacing w:after="0"/>
              <w:rPr>
                <w:sz w:val="20"/>
                <w:szCs w:val="20"/>
                <w:color w:val="auto"/>
              </w:rPr>
            </w:pPr>
            <w:r>
              <w:rPr>
                <w:rFonts w:ascii="Arial" w:cs="Arial" w:eastAsia="Arial" w:hAnsi="Arial"/>
                <w:sz w:val="14"/>
                <w:szCs w:val="14"/>
                <w:color w:val="auto"/>
              </w:rPr>
              <w:t>— </w:t>
            </w:r>
          </w:p>
        </w:tc>
        <w:tc>
          <w:tcPr>
            <w:tcW w:w="1920" w:type="dxa"/>
            <w:vAlign w:val="bottom"/>
            <w:tcBorders>
              <w:bottom w:val="single" w:sz="8" w:color="D7E8F5"/>
            </w:tcBorders>
            <w:shd w:val="clear" w:color="auto" w:fill="D7E8F5"/>
          </w:tcPr>
          <w:p>
            <w:pPr>
              <w:ind w:left="940"/>
              <w:spacing w:after="0"/>
              <w:rPr>
                <w:sz w:val="20"/>
                <w:szCs w:val="20"/>
                <w:color w:val="auto"/>
              </w:rPr>
            </w:pPr>
            <w:r>
              <w:rPr>
                <w:rFonts w:ascii="Arial" w:cs="Arial" w:eastAsia="Arial" w:hAnsi="Arial"/>
                <w:sz w:val="14"/>
                <w:szCs w:val="14"/>
                <w:color w:val="auto"/>
              </w:rPr>
              <w:t>—</w:t>
            </w:r>
          </w:p>
        </w:tc>
      </w:tr>
      <w:tr>
        <w:trPr>
          <w:trHeight w:val="235"/>
        </w:trPr>
        <w:tc>
          <w:tcPr>
            <w:tcW w:w="2500" w:type="dxa"/>
            <w:vAlign w:val="bottom"/>
          </w:tcPr>
          <w:p>
            <w:pPr>
              <w:jc w:val="right"/>
              <w:ind w:right="708"/>
              <w:spacing w:after="0"/>
              <w:rPr>
                <w:sz w:val="20"/>
                <w:szCs w:val="20"/>
                <w:color w:val="auto"/>
              </w:rPr>
            </w:pPr>
            <w:r>
              <w:rPr>
                <w:rFonts w:ascii="Arial" w:cs="Arial" w:eastAsia="Arial" w:hAnsi="Arial"/>
                <w:sz w:val="14"/>
                <w:szCs w:val="14"/>
                <w:color w:val="auto"/>
              </w:rPr>
              <w:t>21,251</w:t>
            </w:r>
          </w:p>
        </w:tc>
        <w:tc>
          <w:tcPr>
            <w:tcW w:w="1880" w:type="dxa"/>
            <w:vAlign w:val="bottom"/>
          </w:tcPr>
          <w:p>
            <w:pPr>
              <w:ind w:left="760"/>
              <w:spacing w:after="0"/>
              <w:rPr>
                <w:sz w:val="20"/>
                <w:szCs w:val="20"/>
                <w:color w:val="auto"/>
              </w:rPr>
            </w:pPr>
            <w:r>
              <w:rPr>
                <w:rFonts w:ascii="Arial" w:cs="Arial" w:eastAsia="Arial" w:hAnsi="Arial"/>
                <w:sz w:val="14"/>
                <w:szCs w:val="14"/>
                <w:color w:val="auto"/>
              </w:rPr>
              <w:t>— </w:t>
            </w:r>
          </w:p>
        </w:tc>
        <w:tc>
          <w:tcPr>
            <w:tcW w:w="1920" w:type="dxa"/>
            <w:vAlign w:val="bottom"/>
          </w:tcPr>
          <w:p>
            <w:pPr>
              <w:ind w:left="940"/>
              <w:spacing w:after="0"/>
              <w:rPr>
                <w:sz w:val="20"/>
                <w:szCs w:val="20"/>
                <w:color w:val="auto"/>
              </w:rPr>
            </w:pPr>
            <w:r>
              <w:rPr>
                <w:rFonts w:ascii="Arial" w:cs="Arial" w:eastAsia="Arial" w:hAnsi="Arial"/>
                <w:sz w:val="14"/>
                <w:szCs w:val="14"/>
                <w:color w:val="auto"/>
              </w:rPr>
              <w:t>—</w:t>
            </w:r>
          </w:p>
        </w:tc>
      </w:tr>
      <w:tr>
        <w:trPr>
          <w:trHeight w:val="35"/>
        </w:trPr>
        <w:tc>
          <w:tcPr>
            <w:tcW w:w="25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0"/>
        </w:trPr>
        <w:tc>
          <w:tcPr>
            <w:tcW w:w="2500" w:type="dxa"/>
            <w:vAlign w:val="bottom"/>
            <w:tcBorders>
              <w:bottom w:val="single" w:sz="8" w:color="D7E8F5"/>
            </w:tcBorders>
            <w:shd w:val="clear" w:color="auto" w:fill="D7E8F5"/>
          </w:tcPr>
          <w:p>
            <w:pPr>
              <w:jc w:val="right"/>
              <w:ind w:right="708"/>
              <w:spacing w:after="0"/>
              <w:rPr>
                <w:sz w:val="20"/>
                <w:szCs w:val="20"/>
                <w:color w:val="auto"/>
              </w:rPr>
            </w:pPr>
            <w:r>
              <w:rPr>
                <w:rFonts w:ascii="Arial" w:cs="Arial" w:eastAsia="Arial" w:hAnsi="Arial"/>
                <w:sz w:val="14"/>
                <w:szCs w:val="14"/>
                <w:color w:val="auto"/>
              </w:rPr>
              <w:t>44,220</w:t>
            </w:r>
          </w:p>
        </w:tc>
        <w:tc>
          <w:tcPr>
            <w:tcW w:w="1880" w:type="dxa"/>
            <w:vAlign w:val="bottom"/>
            <w:tcBorders>
              <w:bottom w:val="single" w:sz="8" w:color="D7E8F5"/>
            </w:tcBorders>
            <w:shd w:val="clear" w:color="auto" w:fill="D7E8F5"/>
          </w:tcPr>
          <w:p>
            <w:pPr>
              <w:ind w:left="760"/>
              <w:spacing w:after="0"/>
              <w:rPr>
                <w:sz w:val="20"/>
                <w:szCs w:val="20"/>
                <w:color w:val="auto"/>
              </w:rPr>
            </w:pPr>
            <w:r>
              <w:rPr>
                <w:rFonts w:ascii="Arial" w:cs="Arial" w:eastAsia="Arial" w:hAnsi="Arial"/>
                <w:sz w:val="14"/>
                <w:szCs w:val="14"/>
                <w:color w:val="auto"/>
              </w:rPr>
              <w:t>— </w:t>
            </w:r>
          </w:p>
        </w:tc>
        <w:tc>
          <w:tcPr>
            <w:tcW w:w="1920" w:type="dxa"/>
            <w:vAlign w:val="bottom"/>
            <w:tcBorders>
              <w:bottom w:val="single" w:sz="8" w:color="D7E8F5"/>
            </w:tcBorders>
            <w:shd w:val="clear" w:color="auto" w:fill="D7E8F5"/>
          </w:tcPr>
          <w:p>
            <w:pPr>
              <w:ind w:left="940"/>
              <w:spacing w:after="0"/>
              <w:rPr>
                <w:sz w:val="20"/>
                <w:szCs w:val="20"/>
                <w:color w:val="auto"/>
              </w:rPr>
            </w:pPr>
            <w:r>
              <w:rPr>
                <w:rFonts w:ascii="Arial" w:cs="Arial" w:eastAsia="Arial" w:hAnsi="Arial"/>
                <w:sz w:val="14"/>
                <w:szCs w:val="14"/>
                <w:color w:val="auto"/>
              </w:rPr>
              <w:t>—</w:t>
            </w:r>
          </w:p>
        </w:tc>
      </w:tr>
      <w:tr>
        <w:trPr>
          <w:trHeight w:val="235"/>
        </w:trPr>
        <w:tc>
          <w:tcPr>
            <w:tcW w:w="2500" w:type="dxa"/>
            <w:vAlign w:val="bottom"/>
          </w:tcPr>
          <w:p>
            <w:pPr>
              <w:jc w:val="right"/>
              <w:ind w:right="708"/>
              <w:spacing w:after="0"/>
              <w:rPr>
                <w:sz w:val="20"/>
                <w:szCs w:val="20"/>
                <w:color w:val="auto"/>
              </w:rPr>
            </w:pPr>
            <w:r>
              <w:rPr>
                <w:rFonts w:ascii="Arial" w:cs="Arial" w:eastAsia="Arial" w:hAnsi="Arial"/>
                <w:sz w:val="14"/>
                <w:szCs w:val="14"/>
                <w:color w:val="auto"/>
              </w:rPr>
              <w:t>4,948</w:t>
            </w:r>
          </w:p>
        </w:tc>
        <w:tc>
          <w:tcPr>
            <w:tcW w:w="1880" w:type="dxa"/>
            <w:vAlign w:val="bottom"/>
          </w:tcPr>
          <w:p>
            <w:pPr>
              <w:ind w:left="760"/>
              <w:spacing w:after="0"/>
              <w:rPr>
                <w:sz w:val="20"/>
                <w:szCs w:val="20"/>
                <w:color w:val="auto"/>
              </w:rPr>
            </w:pPr>
            <w:r>
              <w:rPr>
                <w:rFonts w:ascii="Arial" w:cs="Arial" w:eastAsia="Arial" w:hAnsi="Arial"/>
                <w:sz w:val="14"/>
                <w:szCs w:val="14"/>
                <w:color w:val="auto"/>
              </w:rPr>
              <w:t>— </w:t>
            </w:r>
          </w:p>
        </w:tc>
        <w:tc>
          <w:tcPr>
            <w:tcW w:w="1920" w:type="dxa"/>
            <w:vAlign w:val="bottom"/>
          </w:tcPr>
          <w:p>
            <w:pPr>
              <w:ind w:left="940"/>
              <w:spacing w:after="0"/>
              <w:rPr>
                <w:sz w:val="20"/>
                <w:szCs w:val="20"/>
                <w:color w:val="auto"/>
              </w:rPr>
            </w:pPr>
            <w:r>
              <w:rPr>
                <w:rFonts w:ascii="Arial" w:cs="Arial" w:eastAsia="Arial" w:hAnsi="Arial"/>
                <w:sz w:val="14"/>
                <w:szCs w:val="14"/>
                <w:color w:val="auto"/>
              </w:rPr>
              <w:t>—</w:t>
            </w:r>
          </w:p>
        </w:tc>
      </w:tr>
      <w:tr>
        <w:trPr>
          <w:trHeight w:val="35"/>
        </w:trPr>
        <w:tc>
          <w:tcPr>
            <w:tcW w:w="25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0"/>
        </w:trPr>
        <w:tc>
          <w:tcPr>
            <w:tcW w:w="2500" w:type="dxa"/>
            <w:vAlign w:val="bottom"/>
            <w:tcBorders>
              <w:bottom w:val="single" w:sz="8" w:color="D7E8F5"/>
            </w:tcBorders>
            <w:shd w:val="clear" w:color="auto" w:fill="D7E8F5"/>
          </w:tcPr>
          <w:p>
            <w:pPr>
              <w:jc w:val="right"/>
              <w:ind w:right="708"/>
              <w:spacing w:after="0"/>
              <w:rPr>
                <w:sz w:val="20"/>
                <w:szCs w:val="20"/>
                <w:color w:val="auto"/>
              </w:rPr>
            </w:pPr>
            <w:r>
              <w:rPr>
                <w:rFonts w:ascii="Arial" w:cs="Arial" w:eastAsia="Arial" w:hAnsi="Arial"/>
                <w:sz w:val="14"/>
                <w:szCs w:val="14"/>
                <w:color w:val="auto"/>
              </w:rPr>
              <w:t>82,720</w:t>
            </w:r>
          </w:p>
        </w:tc>
        <w:tc>
          <w:tcPr>
            <w:tcW w:w="1880" w:type="dxa"/>
            <w:vAlign w:val="bottom"/>
            <w:tcBorders>
              <w:bottom w:val="single" w:sz="8" w:color="D7E8F5"/>
            </w:tcBorders>
            <w:shd w:val="clear" w:color="auto" w:fill="D7E8F5"/>
          </w:tcPr>
          <w:p>
            <w:pPr>
              <w:ind w:left="760"/>
              <w:spacing w:after="0"/>
              <w:rPr>
                <w:sz w:val="20"/>
                <w:szCs w:val="20"/>
                <w:color w:val="auto"/>
              </w:rPr>
            </w:pPr>
            <w:r>
              <w:rPr>
                <w:rFonts w:ascii="Arial" w:cs="Arial" w:eastAsia="Arial" w:hAnsi="Arial"/>
                <w:sz w:val="14"/>
                <w:szCs w:val="14"/>
                <w:color w:val="auto"/>
              </w:rPr>
              <w:t>— </w:t>
            </w:r>
          </w:p>
        </w:tc>
        <w:tc>
          <w:tcPr>
            <w:tcW w:w="1920" w:type="dxa"/>
            <w:vAlign w:val="bottom"/>
            <w:tcBorders>
              <w:bottom w:val="single" w:sz="8" w:color="D7E8F5"/>
            </w:tcBorders>
            <w:shd w:val="clear" w:color="auto" w:fill="D7E8F5"/>
          </w:tcPr>
          <w:p>
            <w:pPr>
              <w:ind w:left="940"/>
              <w:spacing w:after="0"/>
              <w:rPr>
                <w:sz w:val="20"/>
                <w:szCs w:val="20"/>
                <w:color w:val="auto"/>
              </w:rPr>
            </w:pPr>
            <w:r>
              <w:rPr>
                <w:rFonts w:ascii="Arial" w:cs="Arial" w:eastAsia="Arial" w:hAnsi="Arial"/>
                <w:sz w:val="14"/>
                <w:szCs w:val="14"/>
                <w:color w:val="auto"/>
              </w:rPr>
              <w:t>—</w:t>
            </w:r>
          </w:p>
        </w:tc>
      </w:tr>
      <w:tr>
        <w:trPr>
          <w:trHeight w:val="235"/>
        </w:trPr>
        <w:tc>
          <w:tcPr>
            <w:tcW w:w="2500" w:type="dxa"/>
            <w:vAlign w:val="bottom"/>
          </w:tcPr>
          <w:p>
            <w:pPr>
              <w:jc w:val="right"/>
              <w:ind w:right="708"/>
              <w:spacing w:after="0"/>
              <w:rPr>
                <w:sz w:val="20"/>
                <w:szCs w:val="20"/>
                <w:color w:val="auto"/>
              </w:rPr>
            </w:pPr>
            <w:r>
              <w:rPr>
                <w:rFonts w:ascii="Arial" w:cs="Arial" w:eastAsia="Arial" w:hAnsi="Arial"/>
                <w:sz w:val="14"/>
                <w:szCs w:val="14"/>
                <w:color w:val="auto"/>
              </w:rPr>
              <w:t>44,220</w:t>
            </w:r>
          </w:p>
        </w:tc>
        <w:tc>
          <w:tcPr>
            <w:tcW w:w="1880" w:type="dxa"/>
            <w:vAlign w:val="bottom"/>
          </w:tcPr>
          <w:p>
            <w:pPr>
              <w:ind w:left="760"/>
              <w:spacing w:after="0"/>
              <w:rPr>
                <w:sz w:val="20"/>
                <w:szCs w:val="20"/>
                <w:color w:val="auto"/>
              </w:rPr>
            </w:pPr>
            <w:r>
              <w:rPr>
                <w:rFonts w:ascii="Arial" w:cs="Arial" w:eastAsia="Arial" w:hAnsi="Arial"/>
                <w:sz w:val="14"/>
                <w:szCs w:val="14"/>
                <w:color w:val="auto"/>
              </w:rPr>
              <w:t>— </w:t>
            </w:r>
          </w:p>
        </w:tc>
        <w:tc>
          <w:tcPr>
            <w:tcW w:w="1920" w:type="dxa"/>
            <w:vAlign w:val="bottom"/>
          </w:tcPr>
          <w:p>
            <w:pPr>
              <w:ind w:left="940"/>
              <w:spacing w:after="0"/>
              <w:rPr>
                <w:sz w:val="20"/>
                <w:szCs w:val="20"/>
                <w:color w:val="auto"/>
              </w:rPr>
            </w:pPr>
            <w:r>
              <w:rPr>
                <w:rFonts w:ascii="Arial" w:cs="Arial" w:eastAsia="Arial" w:hAnsi="Arial"/>
                <w:sz w:val="14"/>
                <w:szCs w:val="14"/>
                <w:color w:val="auto"/>
              </w:rPr>
              <w:t>—</w:t>
            </w:r>
          </w:p>
        </w:tc>
      </w:tr>
      <w:tr>
        <w:trPr>
          <w:trHeight w:val="35"/>
        </w:trPr>
        <w:tc>
          <w:tcPr>
            <w:tcW w:w="25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0"/>
        </w:trPr>
        <w:tc>
          <w:tcPr>
            <w:tcW w:w="2500" w:type="dxa"/>
            <w:vAlign w:val="bottom"/>
            <w:tcBorders>
              <w:bottom w:val="single" w:sz="8" w:color="D7E8F5"/>
            </w:tcBorders>
            <w:shd w:val="clear" w:color="auto" w:fill="D7E8F5"/>
          </w:tcPr>
          <w:p>
            <w:pPr>
              <w:jc w:val="right"/>
              <w:ind w:right="708"/>
              <w:spacing w:after="0"/>
              <w:rPr>
                <w:sz w:val="20"/>
                <w:szCs w:val="20"/>
                <w:color w:val="auto"/>
              </w:rPr>
            </w:pPr>
            <w:r>
              <w:rPr>
                <w:rFonts w:ascii="Arial" w:cs="Arial" w:eastAsia="Arial" w:hAnsi="Arial"/>
                <w:sz w:val="14"/>
                <w:szCs w:val="14"/>
                <w:color w:val="auto"/>
              </w:rPr>
              <w:t>100,784</w:t>
            </w:r>
          </w:p>
        </w:tc>
        <w:tc>
          <w:tcPr>
            <w:tcW w:w="1880" w:type="dxa"/>
            <w:vAlign w:val="bottom"/>
            <w:tcBorders>
              <w:bottom w:val="single" w:sz="8" w:color="D7E8F5"/>
            </w:tcBorders>
            <w:shd w:val="clear" w:color="auto" w:fill="D7E8F5"/>
          </w:tcPr>
          <w:p>
            <w:pPr>
              <w:ind w:left="760"/>
              <w:spacing w:after="0"/>
              <w:rPr>
                <w:sz w:val="20"/>
                <w:szCs w:val="20"/>
                <w:color w:val="auto"/>
              </w:rPr>
            </w:pPr>
            <w:r>
              <w:rPr>
                <w:rFonts w:ascii="Arial" w:cs="Arial" w:eastAsia="Arial" w:hAnsi="Arial"/>
                <w:sz w:val="14"/>
                <w:szCs w:val="14"/>
                <w:color w:val="auto"/>
              </w:rPr>
              <w:t>— </w:t>
            </w:r>
          </w:p>
        </w:tc>
        <w:tc>
          <w:tcPr>
            <w:tcW w:w="1920" w:type="dxa"/>
            <w:vAlign w:val="bottom"/>
            <w:tcBorders>
              <w:bottom w:val="single" w:sz="8" w:color="D7E8F5"/>
            </w:tcBorders>
            <w:shd w:val="clear" w:color="auto" w:fill="D7E8F5"/>
          </w:tcPr>
          <w:p>
            <w:pPr>
              <w:ind w:left="940"/>
              <w:spacing w:after="0"/>
              <w:rPr>
                <w:sz w:val="20"/>
                <w:szCs w:val="20"/>
                <w:color w:val="auto"/>
              </w:rPr>
            </w:pPr>
            <w:r>
              <w:rPr>
                <w:rFonts w:ascii="Arial" w:cs="Arial" w:eastAsia="Arial" w:hAnsi="Arial"/>
                <w:sz w:val="14"/>
                <w:szCs w:val="14"/>
                <w:color w:val="auto"/>
              </w:rPr>
              <w:t>—</w:t>
            </w:r>
          </w:p>
        </w:tc>
      </w:tr>
      <w:tr>
        <w:trPr>
          <w:trHeight w:val="235"/>
        </w:trPr>
        <w:tc>
          <w:tcPr>
            <w:tcW w:w="2500" w:type="dxa"/>
            <w:vAlign w:val="bottom"/>
          </w:tcPr>
          <w:p>
            <w:pPr>
              <w:jc w:val="right"/>
              <w:ind w:right="708"/>
              <w:spacing w:after="0"/>
              <w:rPr>
                <w:sz w:val="20"/>
                <w:szCs w:val="20"/>
                <w:color w:val="auto"/>
              </w:rPr>
            </w:pPr>
            <w:r>
              <w:rPr>
                <w:rFonts w:ascii="Arial" w:cs="Arial" w:eastAsia="Arial" w:hAnsi="Arial"/>
                <w:sz w:val="14"/>
                <w:szCs w:val="14"/>
                <w:color w:val="auto"/>
              </w:rPr>
              <w:t>98,970</w:t>
            </w:r>
          </w:p>
        </w:tc>
        <w:tc>
          <w:tcPr>
            <w:tcW w:w="1880" w:type="dxa"/>
            <w:vAlign w:val="bottom"/>
          </w:tcPr>
          <w:p>
            <w:pPr>
              <w:ind w:left="760"/>
              <w:spacing w:after="0"/>
              <w:rPr>
                <w:sz w:val="20"/>
                <w:szCs w:val="20"/>
                <w:color w:val="auto"/>
              </w:rPr>
            </w:pPr>
            <w:r>
              <w:rPr>
                <w:rFonts w:ascii="Arial" w:cs="Arial" w:eastAsia="Arial" w:hAnsi="Arial"/>
                <w:sz w:val="14"/>
                <w:szCs w:val="14"/>
                <w:color w:val="auto"/>
              </w:rPr>
              <w:t>— </w:t>
            </w:r>
          </w:p>
        </w:tc>
        <w:tc>
          <w:tcPr>
            <w:tcW w:w="1920" w:type="dxa"/>
            <w:vAlign w:val="bottom"/>
          </w:tcPr>
          <w:p>
            <w:pPr>
              <w:ind w:left="940"/>
              <w:spacing w:after="0"/>
              <w:rPr>
                <w:sz w:val="20"/>
                <w:szCs w:val="20"/>
                <w:color w:val="auto"/>
              </w:rPr>
            </w:pPr>
            <w:r>
              <w:rPr>
                <w:rFonts w:ascii="Arial" w:cs="Arial" w:eastAsia="Arial" w:hAnsi="Arial"/>
                <w:sz w:val="14"/>
                <w:szCs w:val="14"/>
                <w:color w:val="auto"/>
              </w:rPr>
              <w:t>—</w:t>
            </w:r>
          </w:p>
        </w:tc>
      </w:tr>
      <w:tr>
        <w:trPr>
          <w:trHeight w:val="35"/>
        </w:trPr>
        <w:tc>
          <w:tcPr>
            <w:tcW w:w="25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0"/>
        </w:trPr>
        <w:tc>
          <w:tcPr>
            <w:tcW w:w="2500" w:type="dxa"/>
            <w:vAlign w:val="bottom"/>
            <w:tcBorders>
              <w:bottom w:val="single" w:sz="8" w:color="D7E8F5"/>
            </w:tcBorders>
            <w:shd w:val="clear" w:color="auto" w:fill="D7E8F5"/>
          </w:tcPr>
          <w:p>
            <w:pPr>
              <w:jc w:val="right"/>
              <w:ind w:right="708"/>
              <w:spacing w:after="0"/>
              <w:rPr>
                <w:sz w:val="20"/>
                <w:szCs w:val="20"/>
                <w:color w:val="auto"/>
              </w:rPr>
            </w:pPr>
            <w:r>
              <w:rPr>
                <w:rFonts w:ascii="Arial" w:cs="Arial" w:eastAsia="Arial" w:hAnsi="Arial"/>
                <w:sz w:val="14"/>
                <w:szCs w:val="14"/>
                <w:color w:val="auto"/>
              </w:rPr>
              <w:t>7,910</w:t>
            </w:r>
          </w:p>
        </w:tc>
        <w:tc>
          <w:tcPr>
            <w:tcW w:w="1880" w:type="dxa"/>
            <w:vAlign w:val="bottom"/>
            <w:tcBorders>
              <w:bottom w:val="single" w:sz="8" w:color="D7E8F5"/>
            </w:tcBorders>
            <w:shd w:val="clear" w:color="auto" w:fill="D7E8F5"/>
          </w:tcPr>
          <w:p>
            <w:pPr>
              <w:ind w:left="760"/>
              <w:spacing w:after="0"/>
              <w:rPr>
                <w:sz w:val="20"/>
                <w:szCs w:val="20"/>
                <w:color w:val="auto"/>
              </w:rPr>
            </w:pPr>
            <w:r>
              <w:rPr>
                <w:rFonts w:ascii="Arial" w:cs="Arial" w:eastAsia="Arial" w:hAnsi="Arial"/>
                <w:sz w:val="14"/>
                <w:szCs w:val="14"/>
                <w:color w:val="auto"/>
              </w:rPr>
              <w:t>— </w:t>
            </w:r>
          </w:p>
        </w:tc>
        <w:tc>
          <w:tcPr>
            <w:tcW w:w="1920" w:type="dxa"/>
            <w:vAlign w:val="bottom"/>
            <w:tcBorders>
              <w:bottom w:val="single" w:sz="8" w:color="D7E8F5"/>
            </w:tcBorders>
            <w:shd w:val="clear" w:color="auto" w:fill="D7E8F5"/>
          </w:tcPr>
          <w:p>
            <w:pPr>
              <w:ind w:left="940"/>
              <w:spacing w:after="0"/>
              <w:rPr>
                <w:sz w:val="20"/>
                <w:szCs w:val="20"/>
                <w:color w:val="auto"/>
              </w:rPr>
            </w:pPr>
            <w:r>
              <w:rPr>
                <w:rFonts w:ascii="Arial" w:cs="Arial" w:eastAsia="Arial" w:hAnsi="Arial"/>
                <w:sz w:val="14"/>
                <w:szCs w:val="14"/>
                <w:color w:val="auto"/>
              </w:rPr>
              <w:t>—</w:t>
            </w:r>
          </w:p>
        </w:tc>
      </w:tr>
      <w:tr>
        <w:trPr>
          <w:trHeight w:val="235"/>
        </w:trPr>
        <w:tc>
          <w:tcPr>
            <w:tcW w:w="2500" w:type="dxa"/>
            <w:vAlign w:val="bottom"/>
          </w:tcPr>
          <w:p>
            <w:pPr>
              <w:jc w:val="right"/>
              <w:ind w:right="708"/>
              <w:spacing w:after="0"/>
              <w:rPr>
                <w:sz w:val="20"/>
                <w:szCs w:val="20"/>
                <w:color w:val="auto"/>
              </w:rPr>
            </w:pPr>
            <w:r>
              <w:rPr>
                <w:rFonts w:ascii="Arial" w:cs="Arial" w:eastAsia="Arial" w:hAnsi="Arial"/>
                <w:sz w:val="14"/>
                <w:szCs w:val="14"/>
                <w:color w:val="auto"/>
              </w:rPr>
              <w:t>83,970</w:t>
            </w:r>
          </w:p>
        </w:tc>
        <w:tc>
          <w:tcPr>
            <w:tcW w:w="1880" w:type="dxa"/>
            <w:vAlign w:val="bottom"/>
          </w:tcPr>
          <w:p>
            <w:pPr>
              <w:ind w:left="760"/>
              <w:spacing w:after="0"/>
              <w:rPr>
                <w:sz w:val="20"/>
                <w:szCs w:val="20"/>
                <w:color w:val="auto"/>
              </w:rPr>
            </w:pPr>
            <w:r>
              <w:rPr>
                <w:rFonts w:ascii="Arial" w:cs="Arial" w:eastAsia="Arial" w:hAnsi="Arial"/>
                <w:sz w:val="14"/>
                <w:szCs w:val="14"/>
                <w:color w:val="auto"/>
              </w:rPr>
              <w:t>— </w:t>
            </w:r>
          </w:p>
        </w:tc>
        <w:tc>
          <w:tcPr>
            <w:tcW w:w="1920" w:type="dxa"/>
            <w:vAlign w:val="bottom"/>
          </w:tcPr>
          <w:p>
            <w:pPr>
              <w:ind w:left="94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22225</wp:posOffset>
            </wp:positionV>
            <wp:extent cx="6995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4120" w:space="720"/>
            <w:col w:w="6300"/>
          </w:cols>
          <w:pgMar w:left="320" w:top="482" w:right="439" w:bottom="1440" w:gutter="0" w:footer="0" w:header="0"/>
          <w:type w:val="continuous"/>
        </w:sectPr>
      </w:pPr>
    </w:p>
    <w:p>
      <w:pPr>
        <w:ind w:left="1200" w:hanging="436"/>
        <w:spacing w:after="0"/>
        <w:tabs>
          <w:tab w:leader="none" w:pos="1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Unexercised option awards represent both exercisable and unexercisable awards.</w:t>
      </w:r>
    </w:p>
    <w:p>
      <w:pPr>
        <w:spacing w:after="0" w:line="126" w:lineRule="exact"/>
        <w:rPr>
          <w:rFonts w:ascii="Arial" w:cs="Arial" w:eastAsia="Arial" w:hAnsi="Arial"/>
          <w:sz w:val="16"/>
          <w:szCs w:val="16"/>
          <w:color w:val="auto"/>
        </w:rPr>
      </w:pPr>
    </w:p>
    <w:p>
      <w:pPr>
        <w:ind w:left="1200" w:hanging="436"/>
        <w:spacing w:after="0"/>
        <w:tabs>
          <w:tab w:leader="none" w:pos="1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Dr. Bertozzi was elected to our board effective January 5, 2023 and was granted a stock option award upon her election.</w:t>
      </w:r>
    </w:p>
    <w:p>
      <w:pPr>
        <w:spacing w:after="0" w:line="126" w:lineRule="exact"/>
        <w:rPr>
          <w:rFonts w:ascii="Arial" w:cs="Arial" w:eastAsia="Arial" w:hAnsi="Arial"/>
          <w:sz w:val="16"/>
          <w:szCs w:val="16"/>
          <w:color w:val="auto"/>
        </w:rPr>
      </w:pPr>
    </w:p>
    <w:p>
      <w:pPr>
        <w:ind w:left="1200" w:hanging="436"/>
        <w:spacing w:after="0"/>
        <w:tabs>
          <w:tab w:leader="none" w:pos="1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Kellogg was elected to our board effective March 7, 2023 and was granted a stock option award upon his election.</w:t>
      </w:r>
    </w:p>
    <w:p>
      <w:pPr>
        <w:spacing w:after="0" w:line="126" w:lineRule="exact"/>
        <w:rPr>
          <w:rFonts w:ascii="Arial" w:cs="Arial" w:eastAsia="Arial" w:hAnsi="Arial"/>
          <w:sz w:val="16"/>
          <w:szCs w:val="16"/>
          <w:color w:val="auto"/>
        </w:rPr>
      </w:pPr>
    </w:p>
    <w:p>
      <w:pPr>
        <w:ind w:left="1200" w:right="80" w:hanging="436"/>
        <w:spacing w:after="0" w:line="256" w:lineRule="auto"/>
        <w:tabs>
          <w:tab w:leader="none" w:pos="1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connection with Ms. Fanucci’s resignation, and in recognition of her nearly 13 years of service on our board, on September 27, 2023, our PC&amp;C committee approved the acceleration of vesting, effective September 29, 2023, of Ms. Fanucci’s 2023 annual non-employee director stock option to purchase 3,454 shares of common stock, at an exercise price of $189.87 per share, which stock option was due to vest in full on May 18, 2024. Ms. Fanucci has the lesser of five years and the remainder of the stock option term following the effective date of her resignation to exercise any vested stock options, after which time all such outstanding stock options will 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88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8970" cy="63881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SECURITIES OWNERSHIP</w:t>
      </w: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OWNERSHIP OF OUR COMMON STOCK</w:t>
      </w:r>
    </w:p>
    <w:p>
      <w:pPr>
        <w:spacing w:after="0" w:line="96" w:lineRule="exact"/>
        <w:rPr>
          <w:sz w:val="20"/>
          <w:szCs w:val="20"/>
          <w:color w:val="auto"/>
        </w:rPr>
      </w:pPr>
    </w:p>
    <w:p>
      <w:pPr>
        <w:ind w:left="120" w:right="500" w:firstLine="771"/>
        <w:spacing w:after="0" w:line="257" w:lineRule="auto"/>
        <w:rPr>
          <w:sz w:val="20"/>
          <w:szCs w:val="20"/>
          <w:color w:val="auto"/>
        </w:rPr>
      </w:pPr>
      <w:r>
        <w:rPr>
          <w:rFonts w:ascii="Arial" w:cs="Arial" w:eastAsia="Arial" w:hAnsi="Arial"/>
          <w:sz w:val="20"/>
          <w:szCs w:val="20"/>
          <w:color w:val="auto"/>
        </w:rPr>
        <w:t>The following table sets forth information regarding beneficial ownership of our common stock as of January 31, 2024, except as otherwise set forth in the footnotes below, by:</w:t>
      </w:r>
    </w:p>
    <w:p>
      <w:pPr>
        <w:spacing w:after="0" w:line="182" w:lineRule="exact"/>
        <w:rPr>
          <w:sz w:val="20"/>
          <w:szCs w:val="20"/>
          <w:color w:val="auto"/>
        </w:rPr>
      </w:pPr>
    </w:p>
    <w:p>
      <w:pPr>
        <w:ind w:left="1320" w:right="580" w:hanging="435"/>
        <w:spacing w:after="0" w:line="234" w:lineRule="auto"/>
        <w:tabs>
          <w:tab w:leader="none" w:pos="13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each person, or group of affiliated persons, known to us to be the beneficial owner of more than 5% of the outstanding shares of our common stock;</w:t>
      </w:r>
    </w:p>
    <w:p>
      <w:pPr>
        <w:spacing w:after="0" w:line="1" w:lineRule="exact"/>
        <w:rPr>
          <w:rFonts w:ascii="Arial" w:cs="Arial" w:eastAsia="Arial" w:hAnsi="Arial"/>
          <w:sz w:val="20"/>
          <w:szCs w:val="20"/>
          <w:color w:val="auto"/>
        </w:rPr>
      </w:pPr>
    </w:p>
    <w:p>
      <w:pPr>
        <w:ind w:left="1320" w:hanging="435"/>
        <w:spacing w:after="0" w:line="225" w:lineRule="auto"/>
        <w:tabs>
          <w:tab w:leader="none" w:pos="13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each of our directors and director nominees;</w:t>
      </w:r>
    </w:p>
    <w:p>
      <w:pPr>
        <w:ind w:left="1320" w:right="120" w:hanging="435"/>
        <w:spacing w:after="0" w:line="225" w:lineRule="auto"/>
        <w:tabs>
          <w:tab w:leader="none" w:pos="13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principal executive officer, our principal financial officer, our three other most highly compensated executive officers who were serving as executive officers on December 31, 2023, and our former president, whom, collectively, we refer to as our named executive officers, or NEOs; and</w:t>
      </w:r>
    </w:p>
    <w:p>
      <w:pPr>
        <w:spacing w:after="0" w:line="1" w:lineRule="exact"/>
        <w:rPr>
          <w:rFonts w:ascii="Arial" w:cs="Arial" w:eastAsia="Arial" w:hAnsi="Arial"/>
          <w:sz w:val="20"/>
          <w:szCs w:val="20"/>
          <w:color w:val="auto"/>
        </w:rPr>
      </w:pPr>
    </w:p>
    <w:p>
      <w:pPr>
        <w:ind w:left="1320" w:hanging="435"/>
        <w:spacing w:after="0"/>
        <w:tabs>
          <w:tab w:leader="none" w:pos="13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all of our current directors and current executive officers as a group.</w:t>
      </w:r>
    </w:p>
    <w:p>
      <w:pPr>
        <w:spacing w:after="0" w:line="184" w:lineRule="exact"/>
        <w:rPr>
          <w:sz w:val="20"/>
          <w:szCs w:val="20"/>
          <w:color w:val="auto"/>
        </w:rPr>
      </w:pPr>
    </w:p>
    <w:p>
      <w:pPr>
        <w:ind w:left="120" w:right="80" w:firstLine="771"/>
        <w:spacing w:after="0" w:line="232" w:lineRule="auto"/>
        <w:rPr>
          <w:sz w:val="20"/>
          <w:szCs w:val="20"/>
          <w:color w:val="auto"/>
        </w:rPr>
      </w:pPr>
      <w:r>
        <w:rPr>
          <w:rFonts w:ascii="Arial" w:cs="Arial" w:eastAsia="Arial" w:hAnsi="Arial"/>
          <w:sz w:val="20"/>
          <w:szCs w:val="20"/>
          <w:color w:val="auto"/>
        </w:rPr>
        <w:t>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community property laws. The inclusion herein of any shares as beneficially owned does not constitute an admission of beneficial ownership of those shares by the person listed in the table.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80" w:type="dxa"/>
            <w:vAlign w:val="bottom"/>
            <w:shd w:val="clear" w:color="auto" w:fill="1D3060"/>
          </w:tcPr>
          <w:p>
            <w:pPr>
              <w:spacing w:after="0"/>
              <w:rPr>
                <w:sz w:val="17"/>
                <w:szCs w:val="17"/>
                <w:color w:val="auto"/>
              </w:rPr>
            </w:pPr>
          </w:p>
        </w:tc>
        <w:tc>
          <w:tcPr>
            <w:tcW w:w="1820" w:type="dxa"/>
            <w:vAlign w:val="bottom"/>
            <w:shd w:val="clear" w:color="auto" w:fill="1D3060"/>
          </w:tcPr>
          <w:p>
            <w:pPr>
              <w:spacing w:after="0"/>
              <w:rPr>
                <w:sz w:val="17"/>
                <w:szCs w:val="17"/>
                <w:color w:val="auto"/>
              </w:rPr>
            </w:pPr>
          </w:p>
        </w:tc>
        <w:tc>
          <w:tcPr>
            <w:tcW w:w="168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Number of</w:t>
            </w:r>
          </w:p>
        </w:tc>
        <w:tc>
          <w:tcPr>
            <w:tcW w:w="1400" w:type="dxa"/>
            <w:vAlign w:val="bottom"/>
            <w:shd w:val="clear" w:color="auto" w:fill="1D3060"/>
          </w:tcPr>
          <w:p>
            <w:pPr>
              <w:spacing w:after="0"/>
              <w:rPr>
                <w:sz w:val="17"/>
                <w:szCs w:val="17"/>
                <w:color w:val="auto"/>
              </w:rPr>
            </w:pPr>
          </w:p>
        </w:tc>
        <w:tc>
          <w:tcPr>
            <w:tcW w:w="154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Percentage of</w:t>
            </w:r>
          </w:p>
        </w:tc>
      </w:tr>
      <w:tr>
        <w:trPr>
          <w:trHeight w:val="162"/>
        </w:trPr>
        <w:tc>
          <w:tcPr>
            <w:tcW w:w="4580" w:type="dxa"/>
            <w:vAlign w:val="bottom"/>
            <w:shd w:val="clear" w:color="auto" w:fill="1D3060"/>
          </w:tcPr>
          <w:p>
            <w:pPr>
              <w:spacing w:after="0"/>
              <w:rPr>
                <w:sz w:val="14"/>
                <w:szCs w:val="14"/>
                <w:color w:val="auto"/>
              </w:rPr>
            </w:pPr>
          </w:p>
        </w:tc>
        <w:tc>
          <w:tcPr>
            <w:tcW w:w="1820" w:type="dxa"/>
            <w:vAlign w:val="bottom"/>
            <w:shd w:val="clear" w:color="auto" w:fill="1D3060"/>
          </w:tcPr>
          <w:p>
            <w:pPr>
              <w:spacing w:after="0"/>
              <w:rPr>
                <w:sz w:val="14"/>
                <w:szCs w:val="14"/>
                <w:color w:val="auto"/>
              </w:rPr>
            </w:pPr>
          </w:p>
        </w:tc>
        <w:tc>
          <w:tcPr>
            <w:tcW w:w="168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Shares</w:t>
            </w:r>
          </w:p>
        </w:tc>
        <w:tc>
          <w:tcPr>
            <w:tcW w:w="1400" w:type="dxa"/>
            <w:vAlign w:val="bottom"/>
            <w:shd w:val="clear" w:color="auto" w:fill="1D3060"/>
          </w:tcPr>
          <w:p>
            <w:pPr>
              <w:spacing w:after="0"/>
              <w:rPr>
                <w:sz w:val="14"/>
                <w:szCs w:val="14"/>
                <w:color w:val="auto"/>
              </w:rPr>
            </w:pPr>
          </w:p>
        </w:tc>
        <w:tc>
          <w:tcPr>
            <w:tcW w:w="154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Common</w:t>
            </w:r>
          </w:p>
        </w:tc>
      </w:tr>
      <w:tr>
        <w:trPr>
          <w:trHeight w:val="162"/>
        </w:trPr>
        <w:tc>
          <w:tcPr>
            <w:tcW w:w="4580" w:type="dxa"/>
            <w:vAlign w:val="bottom"/>
            <w:shd w:val="clear" w:color="auto" w:fill="1D3060"/>
          </w:tcPr>
          <w:p>
            <w:pPr>
              <w:spacing w:after="0"/>
              <w:rPr>
                <w:sz w:val="14"/>
                <w:szCs w:val="14"/>
                <w:color w:val="auto"/>
              </w:rPr>
            </w:pPr>
          </w:p>
        </w:tc>
        <w:tc>
          <w:tcPr>
            <w:tcW w:w="1820" w:type="dxa"/>
            <w:vAlign w:val="bottom"/>
            <w:shd w:val="clear" w:color="auto" w:fill="1D3060"/>
          </w:tcPr>
          <w:p>
            <w:pPr>
              <w:spacing w:after="0"/>
              <w:rPr>
                <w:sz w:val="14"/>
                <w:szCs w:val="14"/>
                <w:color w:val="auto"/>
              </w:rPr>
            </w:pPr>
          </w:p>
        </w:tc>
        <w:tc>
          <w:tcPr>
            <w:tcW w:w="168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Acquirable</w:t>
            </w:r>
          </w:p>
        </w:tc>
        <w:tc>
          <w:tcPr>
            <w:tcW w:w="140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Total</w:t>
            </w:r>
          </w:p>
        </w:tc>
        <w:tc>
          <w:tcPr>
            <w:tcW w:w="154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Stock</w:t>
            </w:r>
          </w:p>
        </w:tc>
      </w:tr>
      <w:tr>
        <w:trPr>
          <w:trHeight w:val="162"/>
        </w:trPr>
        <w:tc>
          <w:tcPr>
            <w:tcW w:w="4580" w:type="dxa"/>
            <w:vAlign w:val="bottom"/>
            <w:shd w:val="clear" w:color="auto" w:fill="1D3060"/>
          </w:tcPr>
          <w:p>
            <w:pPr>
              <w:spacing w:after="0"/>
              <w:rPr>
                <w:sz w:val="20"/>
                <w:szCs w:val="20"/>
                <w:color w:val="auto"/>
              </w:rPr>
            </w:pPr>
            <w:r>
              <w:rPr>
                <w:rFonts w:ascii="Arial" w:cs="Arial" w:eastAsia="Arial" w:hAnsi="Arial"/>
                <w:sz w:val="14"/>
                <w:szCs w:val="14"/>
                <w:b w:val="1"/>
                <w:bCs w:val="1"/>
                <w:color w:val="FFFFFF"/>
              </w:rPr>
              <w:t>  Name and Address of</w:t>
            </w:r>
          </w:p>
        </w:tc>
        <w:tc>
          <w:tcPr>
            <w:tcW w:w="1820" w:type="dxa"/>
            <w:vAlign w:val="bottom"/>
            <w:shd w:val="clear" w:color="auto" w:fill="1D3060"/>
          </w:tcPr>
          <w:p>
            <w:pPr>
              <w:jc w:val="right"/>
              <w:ind w:right="388"/>
              <w:spacing w:after="0"/>
              <w:rPr>
                <w:sz w:val="20"/>
                <w:szCs w:val="20"/>
                <w:color w:val="auto"/>
              </w:rPr>
            </w:pPr>
            <w:r>
              <w:rPr>
                <w:rFonts w:ascii="Arial" w:cs="Arial" w:eastAsia="Arial" w:hAnsi="Arial"/>
                <w:sz w:val="14"/>
                <w:szCs w:val="14"/>
                <w:b w:val="1"/>
                <w:bCs w:val="1"/>
                <w:color w:val="FFFFFF"/>
              </w:rPr>
              <w:t>Number of</w:t>
            </w:r>
          </w:p>
        </w:tc>
        <w:tc>
          <w:tcPr>
            <w:tcW w:w="168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Within</w:t>
            </w:r>
          </w:p>
        </w:tc>
        <w:tc>
          <w:tcPr>
            <w:tcW w:w="140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Beneficial</w:t>
            </w:r>
          </w:p>
        </w:tc>
        <w:tc>
          <w:tcPr>
            <w:tcW w:w="154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Beneficially</w:t>
            </w:r>
          </w:p>
        </w:tc>
      </w:tr>
      <w:tr>
        <w:trPr>
          <w:trHeight w:val="219"/>
        </w:trPr>
        <w:tc>
          <w:tcPr>
            <w:tcW w:w="4580" w:type="dxa"/>
            <w:vAlign w:val="bottom"/>
            <w:tcBorders>
              <w:bottom w:val="single" w:sz="8" w:color="1D3060"/>
            </w:tcBorders>
            <w:shd w:val="clear" w:color="auto" w:fill="1D3060"/>
          </w:tcPr>
          <w:p>
            <w:pPr>
              <w:spacing w:after="0"/>
              <w:rPr>
                <w:sz w:val="20"/>
                <w:szCs w:val="20"/>
                <w:color w:val="auto"/>
              </w:rPr>
            </w:pPr>
            <w:r>
              <w:rPr>
                <w:rFonts w:ascii="Arial" w:cs="Arial" w:eastAsia="Arial" w:hAnsi="Arial"/>
                <w:sz w:val="14"/>
                <w:szCs w:val="14"/>
                <w:b w:val="1"/>
                <w:bCs w:val="1"/>
                <w:color w:val="FFFFFF"/>
              </w:rPr>
              <w:t>  Beneficial Owner(1)</w:t>
            </w:r>
          </w:p>
        </w:tc>
        <w:tc>
          <w:tcPr>
            <w:tcW w:w="1820" w:type="dxa"/>
            <w:vAlign w:val="bottom"/>
            <w:tcBorders>
              <w:bottom w:val="single" w:sz="8" w:color="1D3060"/>
            </w:tcBorders>
            <w:shd w:val="clear" w:color="auto" w:fill="1D3060"/>
          </w:tcPr>
          <w:p>
            <w:pPr>
              <w:jc w:val="right"/>
              <w:ind w:right="148"/>
              <w:spacing w:after="0"/>
              <w:rPr>
                <w:sz w:val="20"/>
                <w:szCs w:val="20"/>
                <w:color w:val="auto"/>
              </w:rPr>
            </w:pPr>
            <w:r>
              <w:rPr>
                <w:rFonts w:ascii="Arial" w:cs="Arial" w:eastAsia="Arial" w:hAnsi="Arial"/>
                <w:sz w:val="14"/>
                <w:szCs w:val="14"/>
                <w:b w:val="1"/>
                <w:bCs w:val="1"/>
                <w:color w:val="FFFFFF"/>
              </w:rPr>
              <w:t>Shares Owned (#)</w:t>
            </w:r>
          </w:p>
        </w:tc>
        <w:tc>
          <w:tcPr>
            <w:tcW w:w="168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rPr>
              <w:t>+  60 Days (#)(2)  =</w:t>
            </w:r>
          </w:p>
        </w:tc>
        <w:tc>
          <w:tcPr>
            <w:tcW w:w="140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rPr>
              <w:t>Ownership(#)</w:t>
            </w:r>
          </w:p>
        </w:tc>
        <w:tc>
          <w:tcPr>
            <w:tcW w:w="154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rPr>
              <w:t>Owned(%)(3)</w:t>
            </w:r>
          </w:p>
        </w:tc>
      </w:tr>
      <w:tr>
        <w:trPr>
          <w:trHeight w:val="250"/>
        </w:trPr>
        <w:tc>
          <w:tcPr>
            <w:tcW w:w="4580" w:type="dxa"/>
            <w:vAlign w:val="bottom"/>
            <w:tcBorders>
              <w:bottom w:val="single" w:sz="8" w:color="D7E8F5"/>
            </w:tcBorders>
            <w:shd w:val="clear" w:color="auto" w:fill="D7E8F5"/>
          </w:tcPr>
          <w:p>
            <w:pPr>
              <w:ind w:left="60"/>
              <w:spacing w:after="0"/>
              <w:rPr>
                <w:sz w:val="20"/>
                <w:szCs w:val="20"/>
                <w:color w:val="auto"/>
              </w:rPr>
            </w:pPr>
            <w:r>
              <w:rPr>
                <w:rFonts w:ascii="Arial" w:cs="Arial" w:eastAsia="Arial" w:hAnsi="Arial"/>
                <w:sz w:val="14"/>
                <w:szCs w:val="14"/>
                <w:b w:val="1"/>
                <w:bCs w:val="1"/>
                <w:color w:val="auto"/>
              </w:rPr>
              <w:t>Holders of more than 5% of our common stock</w:t>
            </w:r>
          </w:p>
        </w:tc>
        <w:tc>
          <w:tcPr>
            <w:tcW w:w="1820" w:type="dxa"/>
            <w:vAlign w:val="bottom"/>
            <w:tcBorders>
              <w:bottom w:val="single" w:sz="8" w:color="D7E8F5"/>
            </w:tcBorders>
            <w:shd w:val="clear" w:color="auto" w:fill="D7E8F5"/>
          </w:tcPr>
          <w:p>
            <w:pPr>
              <w:spacing w:after="0"/>
              <w:rPr>
                <w:sz w:val="21"/>
                <w:szCs w:val="21"/>
                <w:color w:val="auto"/>
              </w:rPr>
            </w:pPr>
          </w:p>
        </w:tc>
        <w:tc>
          <w:tcPr>
            <w:tcW w:w="1680" w:type="dxa"/>
            <w:vAlign w:val="bottom"/>
            <w:tcBorders>
              <w:bottom w:val="single" w:sz="8" w:color="D7E8F5"/>
            </w:tcBorders>
            <w:shd w:val="clear" w:color="auto" w:fill="D7E8F5"/>
          </w:tcPr>
          <w:p>
            <w:pPr>
              <w:spacing w:after="0"/>
              <w:rPr>
                <w:sz w:val="21"/>
                <w:szCs w:val="21"/>
                <w:color w:val="auto"/>
              </w:rPr>
            </w:pPr>
          </w:p>
        </w:tc>
        <w:tc>
          <w:tcPr>
            <w:tcW w:w="1400" w:type="dxa"/>
            <w:vAlign w:val="bottom"/>
            <w:tcBorders>
              <w:bottom w:val="single" w:sz="8" w:color="D7E8F5"/>
            </w:tcBorders>
            <w:shd w:val="clear" w:color="auto" w:fill="D7E8F5"/>
          </w:tcPr>
          <w:p>
            <w:pPr>
              <w:spacing w:after="0"/>
              <w:rPr>
                <w:sz w:val="21"/>
                <w:szCs w:val="21"/>
                <w:color w:val="auto"/>
              </w:rPr>
            </w:pPr>
          </w:p>
        </w:tc>
        <w:tc>
          <w:tcPr>
            <w:tcW w:w="1540" w:type="dxa"/>
            <w:vAlign w:val="bottom"/>
            <w:tcBorders>
              <w:bottom w:val="single" w:sz="8" w:color="D7E8F5"/>
            </w:tcBorders>
            <w:shd w:val="clear" w:color="auto" w:fill="D7E8F5"/>
          </w:tcPr>
          <w:p>
            <w:pPr>
              <w:spacing w:after="0"/>
              <w:rPr>
                <w:sz w:val="21"/>
                <w:szCs w:val="21"/>
                <w:color w:val="auto"/>
              </w:rPr>
            </w:pPr>
          </w:p>
        </w:tc>
      </w:tr>
      <w:tr>
        <w:trPr>
          <w:trHeight w:val="235"/>
        </w:trPr>
        <w:tc>
          <w:tcPr>
            <w:tcW w:w="4580" w:type="dxa"/>
            <w:vAlign w:val="bottom"/>
          </w:tcPr>
          <w:p>
            <w:pPr>
              <w:ind w:left="160"/>
              <w:spacing w:after="0"/>
              <w:rPr>
                <w:sz w:val="20"/>
                <w:szCs w:val="20"/>
                <w:color w:val="auto"/>
              </w:rPr>
            </w:pPr>
            <w:r>
              <w:rPr>
                <w:rFonts w:ascii="Arial" w:cs="Arial" w:eastAsia="Arial" w:hAnsi="Arial"/>
                <w:sz w:val="14"/>
                <w:szCs w:val="14"/>
                <w:color w:val="auto"/>
              </w:rPr>
              <w:t>Capital World Investors(4)</w:t>
            </w: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16,398,889</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16,398,889</w:t>
            </w: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13.0 </w:t>
            </w:r>
          </w:p>
        </w:tc>
      </w:tr>
      <w:tr>
        <w:trPr>
          <w:trHeight w:val="35"/>
        </w:trPr>
        <w:tc>
          <w:tcPr>
            <w:tcW w:w="45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4580" w:type="dxa"/>
            <w:vAlign w:val="bottom"/>
            <w:tcBorders>
              <w:bottom w:val="single" w:sz="8" w:color="D7E8F5"/>
            </w:tcBorders>
            <w:shd w:val="clear" w:color="auto" w:fill="D7E8F5"/>
          </w:tcPr>
          <w:p>
            <w:pPr>
              <w:ind w:left="160"/>
              <w:spacing w:after="0"/>
              <w:rPr>
                <w:sz w:val="20"/>
                <w:szCs w:val="20"/>
                <w:color w:val="auto"/>
              </w:rPr>
            </w:pPr>
            <w:r>
              <w:rPr>
                <w:rFonts w:ascii="Arial" w:cs="Arial" w:eastAsia="Arial" w:hAnsi="Arial"/>
                <w:sz w:val="14"/>
                <w:szCs w:val="14"/>
                <w:color w:val="auto"/>
              </w:rPr>
              <w:t>The Vanguard Group(5)</w:t>
            </w:r>
          </w:p>
        </w:tc>
        <w:tc>
          <w:tcPr>
            <w:tcW w:w="1820" w:type="dxa"/>
            <w:vAlign w:val="bottom"/>
            <w:tcBorders>
              <w:bottom w:val="single" w:sz="8" w:color="D7E8F5"/>
            </w:tcBorders>
            <w:shd w:val="clear" w:color="auto" w:fill="D7E8F5"/>
          </w:tcPr>
          <w:p>
            <w:pPr>
              <w:jc w:val="right"/>
              <w:ind w:right="368"/>
              <w:spacing w:after="0"/>
              <w:rPr>
                <w:sz w:val="20"/>
                <w:szCs w:val="20"/>
                <w:color w:val="auto"/>
              </w:rPr>
            </w:pPr>
            <w:r>
              <w:rPr>
                <w:rFonts w:ascii="Arial" w:cs="Arial" w:eastAsia="Arial" w:hAnsi="Arial"/>
                <w:sz w:val="14"/>
                <w:szCs w:val="14"/>
                <w:color w:val="auto"/>
              </w:rPr>
              <w:t>11,943,895</w:t>
            </w:r>
          </w:p>
        </w:tc>
        <w:tc>
          <w:tcPr>
            <w:tcW w:w="1680" w:type="dxa"/>
            <w:vAlign w:val="bottom"/>
            <w:tcBorders>
              <w:bottom w:val="single" w:sz="8" w:color="D7E8F5"/>
            </w:tcBorders>
            <w:shd w:val="clear" w:color="auto" w:fill="D7E8F5"/>
          </w:tcPr>
          <w:p>
            <w:pPr>
              <w:jc w:val="right"/>
              <w:ind w:right="3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7E8F5"/>
            </w:tcBorders>
            <w:shd w:val="clear" w:color="auto" w:fill="D7E8F5"/>
          </w:tcPr>
          <w:p>
            <w:pPr>
              <w:jc w:val="right"/>
              <w:ind w:right="268"/>
              <w:spacing w:after="0"/>
              <w:rPr>
                <w:sz w:val="20"/>
                <w:szCs w:val="20"/>
                <w:color w:val="auto"/>
              </w:rPr>
            </w:pPr>
            <w:r>
              <w:rPr>
                <w:rFonts w:ascii="Arial" w:cs="Arial" w:eastAsia="Arial" w:hAnsi="Arial"/>
                <w:sz w:val="14"/>
                <w:szCs w:val="14"/>
                <w:color w:val="auto"/>
              </w:rPr>
              <w:t>11,943,895</w:t>
            </w:r>
          </w:p>
        </w:tc>
        <w:tc>
          <w:tcPr>
            <w:tcW w:w="1540" w:type="dxa"/>
            <w:vAlign w:val="bottom"/>
            <w:tcBorders>
              <w:bottom w:val="single" w:sz="8" w:color="D7E8F5"/>
            </w:tcBorders>
            <w:shd w:val="clear" w:color="auto" w:fill="D7E8F5"/>
          </w:tcPr>
          <w:p>
            <w:pPr>
              <w:jc w:val="right"/>
              <w:ind w:right="508"/>
              <w:spacing w:after="0"/>
              <w:rPr>
                <w:sz w:val="20"/>
                <w:szCs w:val="20"/>
                <w:color w:val="auto"/>
              </w:rPr>
            </w:pPr>
            <w:r>
              <w:rPr>
                <w:rFonts w:ascii="Arial" w:cs="Arial" w:eastAsia="Arial" w:hAnsi="Arial"/>
                <w:sz w:val="14"/>
                <w:szCs w:val="14"/>
                <w:color w:val="auto"/>
              </w:rPr>
              <w:t>9.5 </w:t>
            </w:r>
          </w:p>
        </w:tc>
      </w:tr>
      <w:tr>
        <w:trPr>
          <w:trHeight w:val="235"/>
        </w:trPr>
        <w:tc>
          <w:tcPr>
            <w:tcW w:w="4580" w:type="dxa"/>
            <w:vAlign w:val="bottom"/>
          </w:tcPr>
          <w:p>
            <w:pPr>
              <w:ind w:left="160"/>
              <w:spacing w:after="0"/>
              <w:rPr>
                <w:sz w:val="20"/>
                <w:szCs w:val="20"/>
                <w:color w:val="auto"/>
              </w:rPr>
            </w:pPr>
            <w:r>
              <w:rPr>
                <w:rFonts w:ascii="Arial" w:cs="Arial" w:eastAsia="Arial" w:hAnsi="Arial"/>
                <w:sz w:val="14"/>
                <w:szCs w:val="14"/>
                <w:color w:val="auto"/>
              </w:rPr>
              <w:t>FMR LLC(6)</w:t>
            </w: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10,342,397</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10,342,397</w:t>
            </w: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8.2 </w:t>
            </w:r>
          </w:p>
        </w:tc>
      </w:tr>
      <w:tr>
        <w:trPr>
          <w:trHeight w:val="35"/>
        </w:trPr>
        <w:tc>
          <w:tcPr>
            <w:tcW w:w="45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4580" w:type="dxa"/>
            <w:vAlign w:val="bottom"/>
            <w:tcBorders>
              <w:bottom w:val="single" w:sz="8" w:color="D7E8F5"/>
            </w:tcBorders>
            <w:shd w:val="clear" w:color="auto" w:fill="D7E8F5"/>
          </w:tcPr>
          <w:p>
            <w:pPr>
              <w:ind w:left="160"/>
              <w:spacing w:after="0"/>
              <w:rPr>
                <w:sz w:val="20"/>
                <w:szCs w:val="20"/>
                <w:color w:val="auto"/>
              </w:rPr>
            </w:pPr>
            <w:r>
              <w:rPr>
                <w:rFonts w:ascii="Arial" w:cs="Arial" w:eastAsia="Arial" w:hAnsi="Arial"/>
                <w:sz w:val="14"/>
                <w:szCs w:val="14"/>
                <w:color w:val="auto"/>
              </w:rPr>
              <w:t>BlackRock, Inc.(7)</w:t>
            </w:r>
          </w:p>
        </w:tc>
        <w:tc>
          <w:tcPr>
            <w:tcW w:w="1820" w:type="dxa"/>
            <w:vAlign w:val="bottom"/>
            <w:tcBorders>
              <w:bottom w:val="single" w:sz="8" w:color="D7E8F5"/>
            </w:tcBorders>
            <w:shd w:val="clear" w:color="auto" w:fill="D7E8F5"/>
          </w:tcPr>
          <w:p>
            <w:pPr>
              <w:jc w:val="right"/>
              <w:ind w:right="368"/>
              <w:spacing w:after="0"/>
              <w:rPr>
                <w:sz w:val="20"/>
                <w:szCs w:val="20"/>
                <w:color w:val="auto"/>
              </w:rPr>
            </w:pPr>
            <w:r>
              <w:rPr>
                <w:rFonts w:ascii="Arial" w:cs="Arial" w:eastAsia="Arial" w:hAnsi="Arial"/>
                <w:sz w:val="14"/>
                <w:szCs w:val="14"/>
                <w:color w:val="auto"/>
              </w:rPr>
              <w:t>8,546,557</w:t>
            </w:r>
          </w:p>
        </w:tc>
        <w:tc>
          <w:tcPr>
            <w:tcW w:w="1680" w:type="dxa"/>
            <w:vAlign w:val="bottom"/>
            <w:tcBorders>
              <w:bottom w:val="single" w:sz="8" w:color="D7E8F5"/>
            </w:tcBorders>
            <w:shd w:val="clear" w:color="auto" w:fill="D7E8F5"/>
          </w:tcPr>
          <w:p>
            <w:pPr>
              <w:jc w:val="right"/>
              <w:ind w:right="3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7E8F5"/>
            </w:tcBorders>
            <w:shd w:val="clear" w:color="auto" w:fill="D7E8F5"/>
          </w:tcPr>
          <w:p>
            <w:pPr>
              <w:jc w:val="right"/>
              <w:ind w:right="268"/>
              <w:spacing w:after="0"/>
              <w:rPr>
                <w:sz w:val="20"/>
                <w:szCs w:val="20"/>
                <w:color w:val="auto"/>
              </w:rPr>
            </w:pPr>
            <w:r>
              <w:rPr>
                <w:rFonts w:ascii="Arial" w:cs="Arial" w:eastAsia="Arial" w:hAnsi="Arial"/>
                <w:sz w:val="14"/>
                <w:szCs w:val="14"/>
                <w:color w:val="auto"/>
              </w:rPr>
              <w:t>8,546,557</w:t>
            </w:r>
          </w:p>
        </w:tc>
        <w:tc>
          <w:tcPr>
            <w:tcW w:w="1540" w:type="dxa"/>
            <w:vAlign w:val="bottom"/>
            <w:tcBorders>
              <w:bottom w:val="single" w:sz="8" w:color="D7E8F5"/>
            </w:tcBorders>
            <w:shd w:val="clear" w:color="auto" w:fill="D7E8F5"/>
          </w:tcPr>
          <w:p>
            <w:pPr>
              <w:jc w:val="right"/>
              <w:ind w:right="508"/>
              <w:spacing w:after="0"/>
              <w:rPr>
                <w:sz w:val="20"/>
                <w:szCs w:val="20"/>
                <w:color w:val="auto"/>
              </w:rPr>
            </w:pPr>
            <w:r>
              <w:rPr>
                <w:rFonts w:ascii="Arial" w:cs="Arial" w:eastAsia="Arial" w:hAnsi="Arial"/>
                <w:sz w:val="14"/>
                <w:szCs w:val="14"/>
                <w:color w:val="auto"/>
              </w:rPr>
              <w:t>6.8 </w:t>
            </w:r>
          </w:p>
        </w:tc>
      </w:tr>
      <w:tr>
        <w:trPr>
          <w:trHeight w:val="235"/>
        </w:trPr>
        <w:tc>
          <w:tcPr>
            <w:tcW w:w="4580" w:type="dxa"/>
            <w:vAlign w:val="bottom"/>
          </w:tcPr>
          <w:p>
            <w:pPr>
              <w:ind w:left="160"/>
              <w:spacing w:after="0"/>
              <w:rPr>
                <w:sz w:val="20"/>
                <w:szCs w:val="20"/>
                <w:color w:val="auto"/>
              </w:rPr>
            </w:pPr>
            <w:r>
              <w:rPr>
                <w:rFonts w:ascii="Arial" w:cs="Arial" w:eastAsia="Arial" w:hAnsi="Arial"/>
                <w:sz w:val="14"/>
                <w:szCs w:val="14"/>
                <w:color w:val="auto"/>
              </w:rPr>
              <w:t>Wellington Management Group LLP(8)</w:t>
            </w: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7,252,907</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7,252,907</w:t>
            </w: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5.8 </w:t>
            </w:r>
          </w:p>
        </w:tc>
      </w:tr>
      <w:tr>
        <w:trPr>
          <w:trHeight w:val="35"/>
        </w:trPr>
        <w:tc>
          <w:tcPr>
            <w:tcW w:w="45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4580" w:type="dxa"/>
            <w:vAlign w:val="bottom"/>
            <w:tcBorders>
              <w:bottom w:val="single" w:sz="8" w:color="D7E8F5"/>
            </w:tcBorders>
            <w:shd w:val="clear" w:color="auto" w:fill="D7E8F5"/>
          </w:tcPr>
          <w:p>
            <w:pPr>
              <w:ind w:left="160"/>
              <w:spacing w:after="0"/>
              <w:rPr>
                <w:sz w:val="20"/>
                <w:szCs w:val="20"/>
                <w:color w:val="auto"/>
              </w:rPr>
            </w:pPr>
            <w:r>
              <w:rPr>
                <w:rFonts w:ascii="Arial" w:cs="Arial" w:eastAsia="Arial" w:hAnsi="Arial"/>
                <w:sz w:val="14"/>
                <w:szCs w:val="14"/>
                <w:color w:val="auto"/>
              </w:rPr>
              <w:t>Baillie Gifford &amp; Co.(9)</w:t>
            </w:r>
          </w:p>
        </w:tc>
        <w:tc>
          <w:tcPr>
            <w:tcW w:w="1820" w:type="dxa"/>
            <w:vAlign w:val="bottom"/>
            <w:tcBorders>
              <w:bottom w:val="single" w:sz="8" w:color="D7E8F5"/>
            </w:tcBorders>
            <w:shd w:val="clear" w:color="auto" w:fill="D7E8F5"/>
          </w:tcPr>
          <w:p>
            <w:pPr>
              <w:jc w:val="right"/>
              <w:ind w:right="368"/>
              <w:spacing w:after="0"/>
              <w:rPr>
                <w:sz w:val="20"/>
                <w:szCs w:val="20"/>
                <w:color w:val="auto"/>
              </w:rPr>
            </w:pPr>
            <w:r>
              <w:rPr>
                <w:rFonts w:ascii="Arial" w:cs="Arial" w:eastAsia="Arial" w:hAnsi="Arial"/>
                <w:sz w:val="14"/>
                <w:szCs w:val="14"/>
                <w:color w:val="auto"/>
              </w:rPr>
              <w:t>6,967,097</w:t>
            </w:r>
          </w:p>
        </w:tc>
        <w:tc>
          <w:tcPr>
            <w:tcW w:w="1680" w:type="dxa"/>
            <w:vAlign w:val="bottom"/>
            <w:tcBorders>
              <w:bottom w:val="single" w:sz="8" w:color="D7E8F5"/>
            </w:tcBorders>
            <w:shd w:val="clear" w:color="auto" w:fill="D7E8F5"/>
          </w:tcPr>
          <w:p>
            <w:pPr>
              <w:jc w:val="right"/>
              <w:ind w:right="3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7E8F5"/>
            </w:tcBorders>
            <w:shd w:val="clear" w:color="auto" w:fill="D7E8F5"/>
          </w:tcPr>
          <w:p>
            <w:pPr>
              <w:jc w:val="right"/>
              <w:ind w:right="268"/>
              <w:spacing w:after="0"/>
              <w:rPr>
                <w:sz w:val="20"/>
                <w:szCs w:val="20"/>
                <w:color w:val="auto"/>
              </w:rPr>
            </w:pPr>
            <w:r>
              <w:rPr>
                <w:rFonts w:ascii="Arial" w:cs="Arial" w:eastAsia="Arial" w:hAnsi="Arial"/>
                <w:sz w:val="14"/>
                <w:szCs w:val="14"/>
                <w:color w:val="auto"/>
              </w:rPr>
              <w:t>6,967,097</w:t>
            </w:r>
          </w:p>
        </w:tc>
        <w:tc>
          <w:tcPr>
            <w:tcW w:w="1540" w:type="dxa"/>
            <w:vAlign w:val="bottom"/>
            <w:tcBorders>
              <w:bottom w:val="single" w:sz="8" w:color="D7E8F5"/>
            </w:tcBorders>
            <w:shd w:val="clear" w:color="auto" w:fill="D7E8F5"/>
          </w:tcPr>
          <w:p>
            <w:pPr>
              <w:jc w:val="right"/>
              <w:ind w:right="508"/>
              <w:spacing w:after="0"/>
              <w:rPr>
                <w:sz w:val="20"/>
                <w:szCs w:val="20"/>
                <w:color w:val="auto"/>
              </w:rPr>
            </w:pPr>
            <w:r>
              <w:rPr>
                <w:rFonts w:ascii="Arial" w:cs="Arial" w:eastAsia="Arial" w:hAnsi="Arial"/>
                <w:sz w:val="14"/>
                <w:szCs w:val="14"/>
                <w:color w:val="auto"/>
              </w:rPr>
              <w:t>5.5 </w:t>
            </w:r>
          </w:p>
        </w:tc>
      </w:tr>
      <w:tr>
        <w:trPr>
          <w:trHeight w:val="241"/>
        </w:trPr>
        <w:tc>
          <w:tcPr>
            <w:tcW w:w="4580" w:type="dxa"/>
            <w:vAlign w:val="bottom"/>
          </w:tcPr>
          <w:p>
            <w:pPr>
              <w:ind w:left="60"/>
              <w:spacing w:after="0"/>
              <w:rPr>
                <w:sz w:val="20"/>
                <w:szCs w:val="20"/>
                <w:color w:val="auto"/>
              </w:rPr>
            </w:pPr>
            <w:r>
              <w:rPr>
                <w:rFonts w:ascii="Arial" w:cs="Arial" w:eastAsia="Arial" w:hAnsi="Arial"/>
                <w:sz w:val="14"/>
                <w:szCs w:val="14"/>
                <w:b w:val="1"/>
                <w:bCs w:val="1"/>
                <w:color w:val="auto"/>
              </w:rPr>
              <w:t>Directors and Named Executive Officers</w:t>
            </w:r>
          </w:p>
        </w:tc>
        <w:tc>
          <w:tcPr>
            <w:tcW w:w="1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9"/>
        </w:trPr>
        <w:tc>
          <w:tcPr>
            <w:tcW w:w="4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580" w:type="dxa"/>
            <w:vAlign w:val="bottom"/>
            <w:tcBorders>
              <w:bottom w:val="single" w:sz="8" w:color="D7E8F5"/>
            </w:tcBorders>
            <w:shd w:val="clear" w:color="auto" w:fill="D7E8F5"/>
          </w:tcPr>
          <w:p>
            <w:pPr>
              <w:ind w:left="160"/>
              <w:spacing w:after="0"/>
              <w:rPr>
                <w:sz w:val="20"/>
                <w:szCs w:val="20"/>
                <w:color w:val="auto"/>
              </w:rPr>
            </w:pPr>
            <w:r>
              <w:rPr>
                <w:rFonts w:ascii="Arial" w:cs="Arial" w:eastAsia="Arial" w:hAnsi="Arial"/>
                <w:sz w:val="14"/>
                <w:szCs w:val="14"/>
                <w:color w:val="auto"/>
              </w:rPr>
              <w:t>Dennis A. Ausiello, M.D.</w:t>
            </w:r>
          </w:p>
        </w:tc>
        <w:tc>
          <w:tcPr>
            <w:tcW w:w="1820" w:type="dxa"/>
            <w:vAlign w:val="bottom"/>
            <w:tcBorders>
              <w:bottom w:val="single" w:sz="8" w:color="D7E8F5"/>
            </w:tcBorders>
            <w:shd w:val="clear" w:color="auto" w:fill="D7E8F5"/>
          </w:tcPr>
          <w:p>
            <w:pPr>
              <w:jc w:val="right"/>
              <w:ind w:right="108"/>
              <w:spacing w:after="0"/>
              <w:rPr>
                <w:sz w:val="20"/>
                <w:szCs w:val="20"/>
                <w:color w:val="auto"/>
              </w:rPr>
            </w:pPr>
            <w:r>
              <w:rPr>
                <w:rFonts w:ascii="Arial" w:cs="Arial" w:eastAsia="Arial" w:hAnsi="Arial"/>
                <w:sz w:val="14"/>
                <w:szCs w:val="14"/>
                <w:color w:val="auto"/>
              </w:rPr>
              <w:t>3,636(10)</w:t>
            </w:r>
          </w:p>
        </w:tc>
        <w:tc>
          <w:tcPr>
            <w:tcW w:w="1680" w:type="dxa"/>
            <w:vAlign w:val="bottom"/>
            <w:tcBorders>
              <w:bottom w:val="single" w:sz="8" w:color="D7E8F5"/>
            </w:tcBorders>
            <w:shd w:val="clear" w:color="auto" w:fill="D7E8F5"/>
          </w:tcPr>
          <w:p>
            <w:pPr>
              <w:jc w:val="right"/>
              <w:ind w:right="368"/>
              <w:spacing w:after="0"/>
              <w:rPr>
                <w:sz w:val="20"/>
                <w:szCs w:val="20"/>
                <w:color w:val="auto"/>
              </w:rPr>
            </w:pPr>
            <w:r>
              <w:rPr>
                <w:rFonts w:ascii="Arial" w:cs="Arial" w:eastAsia="Arial" w:hAnsi="Arial"/>
                <w:sz w:val="14"/>
                <w:szCs w:val="14"/>
                <w:color w:val="auto"/>
              </w:rPr>
              <w:t>43,016</w:t>
            </w:r>
          </w:p>
        </w:tc>
        <w:tc>
          <w:tcPr>
            <w:tcW w:w="1400" w:type="dxa"/>
            <w:vAlign w:val="bottom"/>
            <w:tcBorders>
              <w:bottom w:val="single" w:sz="8" w:color="D7E8F5"/>
            </w:tcBorders>
            <w:shd w:val="clear" w:color="auto" w:fill="D7E8F5"/>
          </w:tcPr>
          <w:p>
            <w:pPr>
              <w:jc w:val="right"/>
              <w:ind w:right="268"/>
              <w:spacing w:after="0"/>
              <w:rPr>
                <w:sz w:val="20"/>
                <w:szCs w:val="20"/>
                <w:color w:val="auto"/>
              </w:rPr>
            </w:pPr>
            <w:r>
              <w:rPr>
                <w:rFonts w:ascii="Arial" w:cs="Arial" w:eastAsia="Arial" w:hAnsi="Arial"/>
                <w:sz w:val="14"/>
                <w:szCs w:val="14"/>
                <w:color w:val="auto"/>
              </w:rPr>
              <w:t>46,652</w:t>
            </w:r>
          </w:p>
        </w:tc>
        <w:tc>
          <w:tcPr>
            <w:tcW w:w="1540" w:type="dxa"/>
            <w:vAlign w:val="bottom"/>
            <w:tcBorders>
              <w:bottom w:val="single" w:sz="8" w:color="D7E8F5"/>
            </w:tcBorders>
            <w:shd w:val="clear" w:color="auto" w:fill="D7E8F5"/>
          </w:tcPr>
          <w:p>
            <w:pPr>
              <w:jc w:val="right"/>
              <w:ind w:right="508"/>
              <w:spacing w:after="0"/>
              <w:rPr>
                <w:sz w:val="20"/>
                <w:szCs w:val="20"/>
                <w:color w:val="auto"/>
              </w:rPr>
            </w:pPr>
            <w:r>
              <w:rPr>
                <w:rFonts w:ascii="Arial" w:cs="Arial" w:eastAsia="Arial" w:hAnsi="Arial"/>
                <w:sz w:val="14"/>
                <w:szCs w:val="14"/>
                <w:color w:val="auto"/>
              </w:rPr>
              <w:t xml:space="preserve">* </w:t>
            </w:r>
          </w:p>
        </w:tc>
      </w:tr>
      <w:tr>
        <w:trPr>
          <w:trHeight w:val="235"/>
        </w:trPr>
        <w:tc>
          <w:tcPr>
            <w:tcW w:w="4580" w:type="dxa"/>
            <w:vAlign w:val="bottom"/>
          </w:tcPr>
          <w:p>
            <w:pPr>
              <w:ind w:left="160"/>
              <w:spacing w:after="0"/>
              <w:rPr>
                <w:sz w:val="20"/>
                <w:szCs w:val="20"/>
                <w:color w:val="auto"/>
              </w:rPr>
            </w:pPr>
            <w:r>
              <w:rPr>
                <w:rFonts w:ascii="Arial" w:cs="Arial" w:eastAsia="Arial" w:hAnsi="Arial"/>
                <w:sz w:val="14"/>
                <w:szCs w:val="14"/>
                <w:color w:val="auto"/>
              </w:rPr>
              <w:t>Carolyn R. Bertozzi, Ph.D.(16)</w:t>
            </w: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1,423</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1,423</w:t>
            </w: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 xml:space="preserve">* </w:t>
            </w:r>
          </w:p>
        </w:tc>
      </w:tr>
      <w:tr>
        <w:trPr>
          <w:trHeight w:val="35"/>
        </w:trPr>
        <w:tc>
          <w:tcPr>
            <w:tcW w:w="45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4580" w:type="dxa"/>
            <w:vAlign w:val="bottom"/>
            <w:tcBorders>
              <w:bottom w:val="single" w:sz="8" w:color="D7E8F5"/>
            </w:tcBorders>
            <w:shd w:val="clear" w:color="auto" w:fill="D7E8F5"/>
          </w:tcPr>
          <w:p>
            <w:pPr>
              <w:ind w:left="160"/>
              <w:spacing w:after="0"/>
              <w:rPr>
                <w:sz w:val="20"/>
                <w:szCs w:val="20"/>
                <w:color w:val="auto"/>
              </w:rPr>
            </w:pPr>
            <w:r>
              <w:rPr>
                <w:rFonts w:ascii="Arial" w:cs="Arial" w:eastAsia="Arial" w:hAnsi="Arial"/>
                <w:sz w:val="14"/>
                <w:szCs w:val="14"/>
                <w:color w:val="auto"/>
              </w:rPr>
              <w:t>Michael W. Bonney</w:t>
            </w:r>
          </w:p>
        </w:tc>
        <w:tc>
          <w:tcPr>
            <w:tcW w:w="1820" w:type="dxa"/>
            <w:vAlign w:val="bottom"/>
            <w:tcBorders>
              <w:bottom w:val="single" w:sz="8" w:color="D7E8F5"/>
            </w:tcBorders>
            <w:shd w:val="clear" w:color="auto" w:fill="D7E8F5"/>
          </w:tcPr>
          <w:p>
            <w:pPr>
              <w:jc w:val="right"/>
              <w:ind w:right="128"/>
              <w:spacing w:after="0"/>
              <w:rPr>
                <w:sz w:val="20"/>
                <w:szCs w:val="20"/>
                <w:color w:val="auto"/>
              </w:rPr>
            </w:pPr>
            <w:r>
              <w:rPr>
                <w:rFonts w:ascii="Arial" w:cs="Arial" w:eastAsia="Arial" w:hAnsi="Arial"/>
                <w:sz w:val="14"/>
                <w:szCs w:val="14"/>
                <w:color w:val="auto"/>
              </w:rPr>
              <w:t>20,029(11)</w:t>
            </w:r>
          </w:p>
        </w:tc>
        <w:tc>
          <w:tcPr>
            <w:tcW w:w="1680" w:type="dxa"/>
            <w:vAlign w:val="bottom"/>
            <w:tcBorders>
              <w:bottom w:val="single" w:sz="8" w:color="D7E8F5"/>
            </w:tcBorders>
            <w:shd w:val="clear" w:color="auto" w:fill="D7E8F5"/>
          </w:tcPr>
          <w:p>
            <w:pPr>
              <w:jc w:val="right"/>
              <w:ind w:right="368"/>
              <w:spacing w:after="0"/>
              <w:rPr>
                <w:sz w:val="20"/>
                <w:szCs w:val="20"/>
                <w:color w:val="auto"/>
              </w:rPr>
            </w:pPr>
            <w:r>
              <w:rPr>
                <w:rFonts w:ascii="Arial" w:cs="Arial" w:eastAsia="Arial" w:hAnsi="Arial"/>
                <w:sz w:val="14"/>
                <w:szCs w:val="14"/>
                <w:color w:val="auto"/>
              </w:rPr>
              <w:t>60,363</w:t>
            </w:r>
          </w:p>
        </w:tc>
        <w:tc>
          <w:tcPr>
            <w:tcW w:w="1400" w:type="dxa"/>
            <w:vAlign w:val="bottom"/>
            <w:tcBorders>
              <w:bottom w:val="single" w:sz="8" w:color="D7E8F5"/>
            </w:tcBorders>
            <w:shd w:val="clear" w:color="auto" w:fill="D7E8F5"/>
          </w:tcPr>
          <w:p>
            <w:pPr>
              <w:jc w:val="right"/>
              <w:ind w:right="268"/>
              <w:spacing w:after="0"/>
              <w:rPr>
                <w:sz w:val="20"/>
                <w:szCs w:val="20"/>
                <w:color w:val="auto"/>
              </w:rPr>
            </w:pPr>
            <w:r>
              <w:rPr>
                <w:rFonts w:ascii="Arial" w:cs="Arial" w:eastAsia="Arial" w:hAnsi="Arial"/>
                <w:sz w:val="14"/>
                <w:szCs w:val="14"/>
                <w:color w:val="auto"/>
              </w:rPr>
              <w:t>80,392</w:t>
            </w:r>
          </w:p>
        </w:tc>
        <w:tc>
          <w:tcPr>
            <w:tcW w:w="1540" w:type="dxa"/>
            <w:vAlign w:val="bottom"/>
            <w:tcBorders>
              <w:bottom w:val="single" w:sz="8" w:color="D7E8F5"/>
            </w:tcBorders>
            <w:shd w:val="clear" w:color="auto" w:fill="D7E8F5"/>
          </w:tcPr>
          <w:p>
            <w:pPr>
              <w:jc w:val="right"/>
              <w:ind w:right="508"/>
              <w:spacing w:after="0"/>
              <w:rPr>
                <w:sz w:val="20"/>
                <w:szCs w:val="20"/>
                <w:color w:val="auto"/>
              </w:rPr>
            </w:pPr>
            <w:r>
              <w:rPr>
                <w:rFonts w:ascii="Arial" w:cs="Arial" w:eastAsia="Arial" w:hAnsi="Arial"/>
                <w:sz w:val="14"/>
                <w:szCs w:val="14"/>
                <w:color w:val="auto"/>
              </w:rPr>
              <w:t xml:space="preserve">* </w:t>
            </w:r>
          </w:p>
        </w:tc>
      </w:tr>
      <w:tr>
        <w:trPr>
          <w:trHeight w:val="235"/>
        </w:trPr>
        <w:tc>
          <w:tcPr>
            <w:tcW w:w="4580" w:type="dxa"/>
            <w:vAlign w:val="bottom"/>
          </w:tcPr>
          <w:p>
            <w:pPr>
              <w:ind w:left="160"/>
              <w:spacing w:after="0"/>
              <w:rPr>
                <w:sz w:val="20"/>
                <w:szCs w:val="20"/>
                <w:color w:val="auto"/>
              </w:rPr>
            </w:pPr>
            <w:r>
              <w:rPr>
                <w:rFonts w:ascii="Arial" w:cs="Arial" w:eastAsia="Arial" w:hAnsi="Arial"/>
                <w:sz w:val="14"/>
                <w:szCs w:val="14"/>
                <w:color w:val="auto"/>
              </w:rPr>
              <w:t>Olivier Brandicourt, M.D.</w:t>
            </w: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17,797</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17,797</w:t>
            </w: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 xml:space="preserve">* </w:t>
            </w:r>
          </w:p>
        </w:tc>
      </w:tr>
      <w:tr>
        <w:trPr>
          <w:trHeight w:val="35"/>
        </w:trPr>
        <w:tc>
          <w:tcPr>
            <w:tcW w:w="45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4580" w:type="dxa"/>
            <w:vAlign w:val="bottom"/>
            <w:tcBorders>
              <w:bottom w:val="single" w:sz="8" w:color="D7E8F5"/>
            </w:tcBorders>
            <w:shd w:val="clear" w:color="auto" w:fill="D7E8F5"/>
          </w:tcPr>
          <w:p>
            <w:pPr>
              <w:ind w:left="160"/>
              <w:spacing w:after="0"/>
              <w:rPr>
                <w:sz w:val="20"/>
                <w:szCs w:val="20"/>
                <w:color w:val="auto"/>
              </w:rPr>
            </w:pPr>
            <w:r>
              <w:rPr>
                <w:rFonts w:ascii="Arial" w:cs="Arial" w:eastAsia="Arial" w:hAnsi="Arial"/>
                <w:sz w:val="14"/>
                <w:szCs w:val="14"/>
                <w:color w:val="auto"/>
              </w:rPr>
              <w:t>Margaret A. Hamburg, M.D.</w:t>
            </w:r>
          </w:p>
        </w:tc>
        <w:tc>
          <w:tcPr>
            <w:tcW w:w="1820" w:type="dxa"/>
            <w:vAlign w:val="bottom"/>
            <w:tcBorders>
              <w:bottom w:val="single" w:sz="8" w:color="D7E8F5"/>
            </w:tcBorders>
            <w:shd w:val="clear" w:color="auto" w:fill="D7E8F5"/>
          </w:tcPr>
          <w:p>
            <w:pPr>
              <w:jc w:val="right"/>
              <w:ind w:right="368"/>
              <w:spacing w:after="0"/>
              <w:rPr>
                <w:sz w:val="20"/>
                <w:szCs w:val="20"/>
                <w:color w:val="auto"/>
              </w:rPr>
            </w:pPr>
            <w:r>
              <w:rPr>
                <w:rFonts w:ascii="Arial" w:cs="Arial" w:eastAsia="Arial" w:hAnsi="Arial"/>
                <w:sz w:val="14"/>
                <w:szCs w:val="14"/>
                <w:color w:val="auto"/>
              </w:rPr>
              <w:t>136</w:t>
            </w:r>
          </w:p>
        </w:tc>
        <w:tc>
          <w:tcPr>
            <w:tcW w:w="1680" w:type="dxa"/>
            <w:vAlign w:val="bottom"/>
            <w:tcBorders>
              <w:bottom w:val="single" w:sz="8" w:color="D7E8F5"/>
            </w:tcBorders>
            <w:shd w:val="clear" w:color="auto" w:fill="D7E8F5"/>
          </w:tcPr>
          <w:p>
            <w:pPr>
              <w:jc w:val="right"/>
              <w:ind w:right="368"/>
              <w:spacing w:after="0"/>
              <w:rPr>
                <w:sz w:val="20"/>
                <w:szCs w:val="20"/>
                <w:color w:val="auto"/>
              </w:rPr>
            </w:pPr>
            <w:r>
              <w:rPr>
                <w:rFonts w:ascii="Arial" w:cs="Arial" w:eastAsia="Arial" w:hAnsi="Arial"/>
                <w:sz w:val="14"/>
                <w:szCs w:val="14"/>
                <w:color w:val="auto"/>
              </w:rPr>
              <w:t>40,766</w:t>
            </w:r>
          </w:p>
        </w:tc>
        <w:tc>
          <w:tcPr>
            <w:tcW w:w="1400" w:type="dxa"/>
            <w:vAlign w:val="bottom"/>
            <w:tcBorders>
              <w:bottom w:val="single" w:sz="8" w:color="D7E8F5"/>
            </w:tcBorders>
            <w:shd w:val="clear" w:color="auto" w:fill="D7E8F5"/>
          </w:tcPr>
          <w:p>
            <w:pPr>
              <w:jc w:val="right"/>
              <w:ind w:right="268"/>
              <w:spacing w:after="0"/>
              <w:rPr>
                <w:sz w:val="20"/>
                <w:szCs w:val="20"/>
                <w:color w:val="auto"/>
              </w:rPr>
            </w:pPr>
            <w:r>
              <w:rPr>
                <w:rFonts w:ascii="Arial" w:cs="Arial" w:eastAsia="Arial" w:hAnsi="Arial"/>
                <w:sz w:val="14"/>
                <w:szCs w:val="14"/>
                <w:color w:val="auto"/>
              </w:rPr>
              <w:t>40,902</w:t>
            </w:r>
          </w:p>
        </w:tc>
        <w:tc>
          <w:tcPr>
            <w:tcW w:w="1540" w:type="dxa"/>
            <w:vAlign w:val="bottom"/>
            <w:tcBorders>
              <w:bottom w:val="single" w:sz="8" w:color="D7E8F5"/>
            </w:tcBorders>
            <w:shd w:val="clear" w:color="auto" w:fill="D7E8F5"/>
          </w:tcPr>
          <w:p>
            <w:pPr>
              <w:jc w:val="right"/>
              <w:ind w:right="508"/>
              <w:spacing w:after="0"/>
              <w:rPr>
                <w:sz w:val="20"/>
                <w:szCs w:val="20"/>
                <w:color w:val="auto"/>
              </w:rPr>
            </w:pPr>
            <w:r>
              <w:rPr>
                <w:rFonts w:ascii="Arial" w:cs="Arial" w:eastAsia="Arial" w:hAnsi="Arial"/>
                <w:sz w:val="14"/>
                <w:szCs w:val="14"/>
                <w:color w:val="auto"/>
              </w:rPr>
              <w:t xml:space="preserve">* </w:t>
            </w:r>
          </w:p>
        </w:tc>
      </w:tr>
      <w:tr>
        <w:trPr>
          <w:trHeight w:val="235"/>
        </w:trPr>
        <w:tc>
          <w:tcPr>
            <w:tcW w:w="4580" w:type="dxa"/>
            <w:vAlign w:val="bottom"/>
          </w:tcPr>
          <w:p>
            <w:pPr>
              <w:ind w:left="160"/>
              <w:spacing w:after="0"/>
              <w:rPr>
                <w:sz w:val="20"/>
                <w:szCs w:val="20"/>
                <w:color w:val="auto"/>
              </w:rPr>
            </w:pPr>
            <w:r>
              <w:rPr>
                <w:rFonts w:ascii="Arial" w:cs="Arial" w:eastAsia="Arial" w:hAnsi="Arial"/>
                <w:sz w:val="14"/>
                <w:szCs w:val="14"/>
                <w:color w:val="auto"/>
              </w:rPr>
              <w:t>Peter N. Kellogg(17)</w:t>
            </w: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1,650</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1,650</w:t>
            </w: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 xml:space="preserve">* </w:t>
            </w:r>
          </w:p>
        </w:tc>
      </w:tr>
      <w:tr>
        <w:trPr>
          <w:trHeight w:val="35"/>
        </w:trPr>
        <w:tc>
          <w:tcPr>
            <w:tcW w:w="45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35"/>
        </w:trPr>
        <w:tc>
          <w:tcPr>
            <w:tcW w:w="4580" w:type="dxa"/>
            <w:vAlign w:val="bottom"/>
            <w:shd w:val="clear" w:color="auto" w:fill="D7E8F5"/>
          </w:tcPr>
          <w:p>
            <w:pPr>
              <w:ind w:left="160"/>
              <w:spacing w:after="0"/>
              <w:rPr>
                <w:sz w:val="20"/>
                <w:szCs w:val="20"/>
                <w:color w:val="auto"/>
              </w:rPr>
            </w:pPr>
            <w:r>
              <w:rPr>
                <w:rFonts w:ascii="Arial" w:cs="Arial" w:eastAsia="Arial" w:hAnsi="Arial"/>
                <w:sz w:val="14"/>
                <w:szCs w:val="14"/>
                <w:color w:val="auto"/>
              </w:rPr>
              <w:t>David E.I. Pyott</w:t>
            </w:r>
          </w:p>
        </w:tc>
        <w:tc>
          <w:tcPr>
            <w:tcW w:w="1820" w:type="dxa"/>
            <w:vAlign w:val="bottom"/>
            <w:shd w:val="clear" w:color="auto" w:fill="D7E8F5"/>
          </w:tcPr>
          <w:p>
            <w:pPr>
              <w:jc w:val="right"/>
              <w:ind w:right="108"/>
              <w:spacing w:after="0"/>
              <w:rPr>
                <w:sz w:val="20"/>
                <w:szCs w:val="20"/>
                <w:color w:val="auto"/>
              </w:rPr>
            </w:pPr>
            <w:r>
              <w:rPr>
                <w:rFonts w:ascii="Arial" w:cs="Arial" w:eastAsia="Arial" w:hAnsi="Arial"/>
                <w:sz w:val="14"/>
                <w:szCs w:val="14"/>
                <w:color w:val="auto"/>
              </w:rPr>
              <w:t>28,036(12)</w:t>
            </w:r>
          </w:p>
        </w:tc>
        <w:tc>
          <w:tcPr>
            <w:tcW w:w="1680" w:type="dxa"/>
            <w:vAlign w:val="bottom"/>
            <w:shd w:val="clear" w:color="auto" w:fill="D7E8F5"/>
          </w:tcPr>
          <w:p>
            <w:pPr>
              <w:jc w:val="right"/>
              <w:ind w:right="368"/>
              <w:spacing w:after="0"/>
              <w:rPr>
                <w:sz w:val="20"/>
                <w:szCs w:val="20"/>
                <w:color w:val="auto"/>
              </w:rPr>
            </w:pPr>
            <w:r>
              <w:rPr>
                <w:rFonts w:ascii="Arial" w:cs="Arial" w:eastAsia="Arial" w:hAnsi="Arial"/>
                <w:sz w:val="14"/>
                <w:szCs w:val="14"/>
                <w:color w:val="auto"/>
              </w:rPr>
              <w:t>79,266</w:t>
            </w:r>
          </w:p>
        </w:tc>
        <w:tc>
          <w:tcPr>
            <w:tcW w:w="1400" w:type="dxa"/>
            <w:vAlign w:val="bottom"/>
            <w:shd w:val="clear" w:color="auto" w:fill="D7E8F5"/>
          </w:tcPr>
          <w:p>
            <w:pPr>
              <w:jc w:val="right"/>
              <w:ind w:right="268"/>
              <w:spacing w:after="0"/>
              <w:rPr>
                <w:sz w:val="20"/>
                <w:szCs w:val="20"/>
                <w:color w:val="auto"/>
              </w:rPr>
            </w:pPr>
            <w:r>
              <w:rPr>
                <w:rFonts w:ascii="Arial" w:cs="Arial" w:eastAsia="Arial" w:hAnsi="Arial"/>
                <w:sz w:val="14"/>
                <w:szCs w:val="14"/>
                <w:color w:val="auto"/>
              </w:rPr>
              <w:t>107,302</w:t>
            </w:r>
          </w:p>
        </w:tc>
        <w:tc>
          <w:tcPr>
            <w:tcW w:w="1540" w:type="dxa"/>
            <w:vAlign w:val="bottom"/>
            <w:shd w:val="clear" w:color="auto" w:fill="D7E8F5"/>
          </w:tcPr>
          <w:p>
            <w:pPr>
              <w:jc w:val="right"/>
              <w:ind w:right="508"/>
              <w:spacing w:after="0"/>
              <w:rPr>
                <w:sz w:val="20"/>
                <w:szCs w:val="20"/>
                <w:color w:val="auto"/>
              </w:rPr>
            </w:pPr>
            <w:r>
              <w:rPr>
                <w:rFonts w:ascii="Arial" w:cs="Arial" w:eastAsia="Arial" w:hAnsi="Arial"/>
                <w:sz w:val="14"/>
                <w:szCs w:val="14"/>
                <w:color w:val="auto"/>
              </w:rPr>
              <w:t xml:space="preserve">* </w:t>
            </w:r>
          </w:p>
        </w:tc>
      </w:tr>
      <w:tr>
        <w:trPr>
          <w:trHeight w:val="35"/>
        </w:trPr>
        <w:tc>
          <w:tcPr>
            <w:tcW w:w="4580" w:type="dxa"/>
            <w:vAlign w:val="bottom"/>
            <w:shd w:val="clear" w:color="auto" w:fill="D7E8F5"/>
          </w:tcPr>
          <w:p>
            <w:pPr>
              <w:spacing w:after="0"/>
              <w:rPr>
                <w:sz w:val="3"/>
                <w:szCs w:val="3"/>
                <w:color w:val="auto"/>
              </w:rPr>
            </w:pPr>
          </w:p>
        </w:tc>
        <w:tc>
          <w:tcPr>
            <w:tcW w:w="1820" w:type="dxa"/>
            <w:vAlign w:val="bottom"/>
            <w:shd w:val="clear" w:color="auto" w:fill="D7E8F5"/>
          </w:tcPr>
          <w:p>
            <w:pPr>
              <w:spacing w:after="0"/>
              <w:rPr>
                <w:sz w:val="3"/>
                <w:szCs w:val="3"/>
                <w:color w:val="auto"/>
              </w:rPr>
            </w:pPr>
          </w:p>
        </w:tc>
        <w:tc>
          <w:tcPr>
            <w:tcW w:w="1680" w:type="dxa"/>
            <w:vAlign w:val="bottom"/>
            <w:shd w:val="clear" w:color="auto" w:fill="D7E8F5"/>
          </w:tcPr>
          <w:p>
            <w:pPr>
              <w:spacing w:after="0"/>
              <w:rPr>
                <w:sz w:val="3"/>
                <w:szCs w:val="3"/>
                <w:color w:val="auto"/>
              </w:rPr>
            </w:pPr>
          </w:p>
        </w:tc>
        <w:tc>
          <w:tcPr>
            <w:tcW w:w="1400" w:type="dxa"/>
            <w:vAlign w:val="bottom"/>
            <w:shd w:val="clear" w:color="auto" w:fill="D7E8F5"/>
          </w:tcPr>
          <w:p>
            <w:pPr>
              <w:spacing w:after="0"/>
              <w:rPr>
                <w:sz w:val="3"/>
                <w:szCs w:val="3"/>
                <w:color w:val="auto"/>
              </w:rPr>
            </w:pPr>
          </w:p>
        </w:tc>
        <w:tc>
          <w:tcPr>
            <w:tcW w:w="1540" w:type="dxa"/>
            <w:vAlign w:val="bottom"/>
            <w:shd w:val="clear" w:color="auto" w:fill="D7E8F5"/>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20" w:type="dxa"/>
            <w:vAlign w:val="bottom"/>
            <w:shd w:val="clear" w:color="auto" w:fill="1D3060"/>
          </w:tcPr>
          <w:p>
            <w:pPr>
              <w:spacing w:after="0"/>
              <w:rPr>
                <w:sz w:val="17"/>
                <w:szCs w:val="17"/>
                <w:color w:val="auto"/>
              </w:rPr>
            </w:pPr>
          </w:p>
        </w:tc>
        <w:tc>
          <w:tcPr>
            <w:tcW w:w="1740" w:type="dxa"/>
            <w:vAlign w:val="bottom"/>
            <w:shd w:val="clear" w:color="auto" w:fill="1D3060"/>
          </w:tcPr>
          <w:p>
            <w:pPr>
              <w:spacing w:after="0"/>
              <w:rPr>
                <w:sz w:val="17"/>
                <w:szCs w:val="17"/>
                <w:color w:val="auto"/>
              </w:rPr>
            </w:pPr>
          </w:p>
        </w:tc>
        <w:tc>
          <w:tcPr>
            <w:tcW w:w="1640" w:type="dxa"/>
            <w:vAlign w:val="bottom"/>
            <w:shd w:val="clear" w:color="auto" w:fill="1D3060"/>
          </w:tcPr>
          <w:p>
            <w:pPr>
              <w:jc w:val="center"/>
              <w:ind w:right="48"/>
              <w:spacing w:after="0"/>
              <w:rPr>
                <w:sz w:val="20"/>
                <w:szCs w:val="20"/>
                <w:color w:val="auto"/>
              </w:rPr>
            </w:pPr>
            <w:r>
              <w:rPr>
                <w:rFonts w:ascii="Arial" w:cs="Arial" w:eastAsia="Arial" w:hAnsi="Arial"/>
                <w:sz w:val="14"/>
                <w:szCs w:val="14"/>
                <w:b w:val="1"/>
                <w:bCs w:val="1"/>
                <w:color w:val="FFFFFF"/>
              </w:rPr>
              <w:t>Number of</w:t>
            </w:r>
          </w:p>
        </w:tc>
        <w:tc>
          <w:tcPr>
            <w:tcW w:w="1380" w:type="dxa"/>
            <w:vAlign w:val="bottom"/>
            <w:shd w:val="clear" w:color="auto" w:fill="1D3060"/>
          </w:tcPr>
          <w:p>
            <w:pPr>
              <w:spacing w:after="0"/>
              <w:rPr>
                <w:sz w:val="17"/>
                <w:szCs w:val="17"/>
                <w:color w:val="auto"/>
              </w:rPr>
            </w:pPr>
          </w:p>
        </w:tc>
        <w:tc>
          <w:tcPr>
            <w:tcW w:w="144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Percentage of</w:t>
            </w:r>
          </w:p>
        </w:tc>
      </w:tr>
      <w:tr>
        <w:trPr>
          <w:trHeight w:val="162"/>
        </w:trPr>
        <w:tc>
          <w:tcPr>
            <w:tcW w:w="4820" w:type="dxa"/>
            <w:vAlign w:val="bottom"/>
            <w:shd w:val="clear" w:color="auto" w:fill="1D3060"/>
          </w:tcPr>
          <w:p>
            <w:pPr>
              <w:spacing w:after="0"/>
              <w:rPr>
                <w:sz w:val="14"/>
                <w:szCs w:val="14"/>
                <w:color w:val="auto"/>
              </w:rPr>
            </w:pPr>
          </w:p>
        </w:tc>
        <w:tc>
          <w:tcPr>
            <w:tcW w:w="1740" w:type="dxa"/>
            <w:vAlign w:val="bottom"/>
            <w:shd w:val="clear" w:color="auto" w:fill="1D3060"/>
          </w:tcPr>
          <w:p>
            <w:pPr>
              <w:spacing w:after="0"/>
              <w:rPr>
                <w:sz w:val="14"/>
                <w:szCs w:val="14"/>
                <w:color w:val="auto"/>
              </w:rPr>
            </w:pPr>
          </w:p>
        </w:tc>
        <w:tc>
          <w:tcPr>
            <w:tcW w:w="1640" w:type="dxa"/>
            <w:vAlign w:val="bottom"/>
            <w:shd w:val="clear" w:color="auto" w:fill="1D3060"/>
          </w:tcPr>
          <w:p>
            <w:pPr>
              <w:jc w:val="center"/>
              <w:ind w:right="48"/>
              <w:spacing w:after="0"/>
              <w:rPr>
                <w:sz w:val="20"/>
                <w:szCs w:val="20"/>
                <w:color w:val="auto"/>
              </w:rPr>
            </w:pPr>
            <w:r>
              <w:rPr>
                <w:rFonts w:ascii="Arial" w:cs="Arial" w:eastAsia="Arial" w:hAnsi="Arial"/>
                <w:sz w:val="14"/>
                <w:szCs w:val="14"/>
                <w:b w:val="1"/>
                <w:bCs w:val="1"/>
                <w:color w:val="FFFFFF"/>
              </w:rPr>
              <w:t>Shares</w:t>
            </w:r>
          </w:p>
        </w:tc>
        <w:tc>
          <w:tcPr>
            <w:tcW w:w="1380" w:type="dxa"/>
            <w:vAlign w:val="bottom"/>
            <w:shd w:val="clear" w:color="auto" w:fill="1D3060"/>
          </w:tcPr>
          <w:p>
            <w:pPr>
              <w:spacing w:after="0"/>
              <w:rPr>
                <w:sz w:val="14"/>
                <w:szCs w:val="14"/>
                <w:color w:val="auto"/>
              </w:rPr>
            </w:pPr>
          </w:p>
        </w:tc>
        <w:tc>
          <w:tcPr>
            <w:tcW w:w="144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Common</w:t>
            </w:r>
          </w:p>
        </w:tc>
      </w:tr>
      <w:tr>
        <w:trPr>
          <w:trHeight w:val="162"/>
        </w:trPr>
        <w:tc>
          <w:tcPr>
            <w:tcW w:w="4820" w:type="dxa"/>
            <w:vAlign w:val="bottom"/>
            <w:shd w:val="clear" w:color="auto" w:fill="1D3060"/>
          </w:tcPr>
          <w:p>
            <w:pPr>
              <w:spacing w:after="0"/>
              <w:rPr>
                <w:sz w:val="14"/>
                <w:szCs w:val="14"/>
                <w:color w:val="auto"/>
              </w:rPr>
            </w:pPr>
          </w:p>
        </w:tc>
        <w:tc>
          <w:tcPr>
            <w:tcW w:w="1740" w:type="dxa"/>
            <w:vAlign w:val="bottom"/>
            <w:shd w:val="clear" w:color="auto" w:fill="1D3060"/>
          </w:tcPr>
          <w:p>
            <w:pPr>
              <w:spacing w:after="0"/>
              <w:rPr>
                <w:sz w:val="14"/>
                <w:szCs w:val="14"/>
                <w:color w:val="auto"/>
              </w:rPr>
            </w:pPr>
          </w:p>
        </w:tc>
        <w:tc>
          <w:tcPr>
            <w:tcW w:w="1640" w:type="dxa"/>
            <w:vAlign w:val="bottom"/>
            <w:shd w:val="clear" w:color="auto" w:fill="1D3060"/>
          </w:tcPr>
          <w:p>
            <w:pPr>
              <w:jc w:val="center"/>
              <w:ind w:right="68"/>
              <w:spacing w:after="0"/>
              <w:rPr>
                <w:sz w:val="20"/>
                <w:szCs w:val="20"/>
                <w:color w:val="auto"/>
              </w:rPr>
            </w:pPr>
            <w:r>
              <w:rPr>
                <w:rFonts w:ascii="Arial" w:cs="Arial" w:eastAsia="Arial" w:hAnsi="Arial"/>
                <w:sz w:val="14"/>
                <w:szCs w:val="14"/>
                <w:b w:val="1"/>
                <w:bCs w:val="1"/>
                <w:color w:val="FFFFFF"/>
              </w:rPr>
              <w:t>Acquirable</w:t>
            </w:r>
          </w:p>
        </w:tc>
        <w:tc>
          <w:tcPr>
            <w:tcW w:w="138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Total</w:t>
            </w:r>
          </w:p>
        </w:tc>
        <w:tc>
          <w:tcPr>
            <w:tcW w:w="144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Stock</w:t>
            </w:r>
          </w:p>
        </w:tc>
      </w:tr>
      <w:tr>
        <w:trPr>
          <w:trHeight w:val="162"/>
        </w:trPr>
        <w:tc>
          <w:tcPr>
            <w:tcW w:w="4820" w:type="dxa"/>
            <w:vAlign w:val="bottom"/>
            <w:shd w:val="clear" w:color="auto" w:fill="1D3060"/>
          </w:tcPr>
          <w:p>
            <w:pPr>
              <w:spacing w:after="0"/>
              <w:rPr>
                <w:sz w:val="20"/>
                <w:szCs w:val="20"/>
                <w:color w:val="auto"/>
              </w:rPr>
            </w:pPr>
            <w:r>
              <w:rPr>
                <w:rFonts w:ascii="Arial" w:cs="Arial" w:eastAsia="Arial" w:hAnsi="Arial"/>
                <w:sz w:val="14"/>
                <w:szCs w:val="14"/>
                <w:b w:val="1"/>
                <w:bCs w:val="1"/>
                <w:color w:val="FFFFFF"/>
              </w:rPr>
              <w:t>  Name and Address of</w:t>
            </w:r>
          </w:p>
        </w:tc>
        <w:tc>
          <w:tcPr>
            <w:tcW w:w="1740" w:type="dxa"/>
            <w:vAlign w:val="bottom"/>
            <w:shd w:val="clear" w:color="auto" w:fill="1D3060"/>
          </w:tcPr>
          <w:p>
            <w:pPr>
              <w:jc w:val="right"/>
              <w:ind w:right="428"/>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1D3060"/>
          </w:tcPr>
          <w:p>
            <w:pPr>
              <w:jc w:val="center"/>
              <w:ind w:right="48"/>
              <w:spacing w:after="0"/>
              <w:rPr>
                <w:sz w:val="20"/>
                <w:szCs w:val="20"/>
                <w:color w:val="auto"/>
              </w:rPr>
            </w:pPr>
            <w:r>
              <w:rPr>
                <w:rFonts w:ascii="Arial" w:cs="Arial" w:eastAsia="Arial" w:hAnsi="Arial"/>
                <w:sz w:val="14"/>
                <w:szCs w:val="14"/>
                <w:b w:val="1"/>
                <w:bCs w:val="1"/>
                <w:color w:val="FFFFFF"/>
              </w:rPr>
              <w:t>Within</w:t>
            </w:r>
          </w:p>
        </w:tc>
        <w:tc>
          <w:tcPr>
            <w:tcW w:w="138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Beneficial</w:t>
            </w:r>
          </w:p>
        </w:tc>
        <w:tc>
          <w:tcPr>
            <w:tcW w:w="144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Beneficially</w:t>
            </w:r>
          </w:p>
        </w:tc>
      </w:tr>
      <w:tr>
        <w:trPr>
          <w:trHeight w:val="219"/>
        </w:trPr>
        <w:tc>
          <w:tcPr>
            <w:tcW w:w="4820" w:type="dxa"/>
            <w:vAlign w:val="bottom"/>
            <w:tcBorders>
              <w:bottom w:val="single" w:sz="8" w:color="1D3060"/>
            </w:tcBorders>
            <w:shd w:val="clear" w:color="auto" w:fill="1D3060"/>
          </w:tcPr>
          <w:p>
            <w:pPr>
              <w:spacing w:after="0"/>
              <w:rPr>
                <w:sz w:val="20"/>
                <w:szCs w:val="20"/>
                <w:color w:val="auto"/>
              </w:rPr>
            </w:pPr>
            <w:r>
              <w:rPr>
                <w:rFonts w:ascii="Arial" w:cs="Arial" w:eastAsia="Arial" w:hAnsi="Arial"/>
                <w:sz w:val="14"/>
                <w:szCs w:val="14"/>
                <w:b w:val="1"/>
                <w:bCs w:val="1"/>
                <w:color w:val="FFFFFF"/>
              </w:rPr>
              <w:t>  Beneficial Owner(1)</w:t>
            </w:r>
          </w:p>
        </w:tc>
        <w:tc>
          <w:tcPr>
            <w:tcW w:w="1740" w:type="dxa"/>
            <w:vAlign w:val="bottom"/>
            <w:tcBorders>
              <w:bottom w:val="single" w:sz="8" w:color="1D3060"/>
            </w:tcBorders>
            <w:shd w:val="clear" w:color="auto" w:fill="1D3060"/>
          </w:tcPr>
          <w:p>
            <w:pPr>
              <w:jc w:val="right"/>
              <w:ind w:right="168"/>
              <w:spacing w:after="0"/>
              <w:rPr>
                <w:sz w:val="20"/>
                <w:szCs w:val="20"/>
                <w:color w:val="auto"/>
              </w:rPr>
            </w:pPr>
            <w:r>
              <w:rPr>
                <w:rFonts w:ascii="Arial" w:cs="Arial" w:eastAsia="Arial" w:hAnsi="Arial"/>
                <w:sz w:val="14"/>
                <w:szCs w:val="14"/>
                <w:b w:val="1"/>
                <w:bCs w:val="1"/>
                <w:color w:val="FFFFFF"/>
              </w:rPr>
              <w:t>Shares Owned (#)</w:t>
            </w:r>
          </w:p>
        </w:tc>
        <w:tc>
          <w:tcPr>
            <w:tcW w:w="1640" w:type="dxa"/>
            <w:vAlign w:val="bottom"/>
            <w:tcBorders>
              <w:bottom w:val="single" w:sz="8" w:color="1D3060"/>
            </w:tcBorders>
            <w:shd w:val="clear" w:color="auto" w:fill="1D3060"/>
          </w:tcPr>
          <w:p>
            <w:pPr>
              <w:jc w:val="center"/>
              <w:ind w:right="68"/>
              <w:spacing w:after="0"/>
              <w:rPr>
                <w:sz w:val="20"/>
                <w:szCs w:val="20"/>
                <w:color w:val="auto"/>
              </w:rPr>
            </w:pPr>
            <w:r>
              <w:rPr>
                <w:rFonts w:ascii="Arial" w:cs="Arial" w:eastAsia="Arial" w:hAnsi="Arial"/>
                <w:sz w:val="14"/>
                <w:szCs w:val="14"/>
                <w:b w:val="1"/>
                <w:bCs w:val="1"/>
                <w:color w:val="FFFFFF"/>
              </w:rPr>
              <w:t>+  60 Days (#)(2)  =</w:t>
            </w:r>
          </w:p>
        </w:tc>
        <w:tc>
          <w:tcPr>
            <w:tcW w:w="138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rPr>
              <w:t>Ownership(#)</w:t>
            </w:r>
          </w:p>
        </w:tc>
        <w:tc>
          <w:tcPr>
            <w:tcW w:w="144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rPr>
              <w:t>Owned(%)(3)</w:t>
            </w:r>
          </w:p>
        </w:tc>
      </w:tr>
      <w:tr>
        <w:trPr>
          <w:trHeight w:val="235"/>
        </w:trPr>
        <w:tc>
          <w:tcPr>
            <w:tcW w:w="4820" w:type="dxa"/>
            <w:vAlign w:val="bottom"/>
          </w:tcPr>
          <w:p>
            <w:pPr>
              <w:ind w:left="160"/>
              <w:spacing w:after="0"/>
              <w:rPr>
                <w:sz w:val="20"/>
                <w:szCs w:val="20"/>
                <w:color w:val="auto"/>
              </w:rPr>
            </w:pPr>
            <w:r>
              <w:rPr>
                <w:rFonts w:ascii="Arial" w:cs="Arial" w:eastAsia="Arial" w:hAnsi="Arial"/>
                <w:sz w:val="14"/>
                <w:szCs w:val="14"/>
                <w:color w:val="auto"/>
              </w:rPr>
              <w:t>Colleen F. Reitan</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388"/>
              <w:spacing w:after="0"/>
              <w:rPr>
                <w:sz w:val="20"/>
                <w:szCs w:val="20"/>
                <w:color w:val="auto"/>
              </w:rPr>
            </w:pPr>
            <w:r>
              <w:rPr>
                <w:rFonts w:ascii="Arial" w:cs="Arial" w:eastAsia="Arial" w:hAnsi="Arial"/>
                <w:sz w:val="14"/>
                <w:szCs w:val="14"/>
                <w:color w:val="auto"/>
              </w:rPr>
              <w:t>40,766</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40,766</w:t>
            </w:r>
          </w:p>
        </w:tc>
        <w:tc>
          <w:tcPr>
            <w:tcW w:w="1440" w:type="dxa"/>
            <w:vAlign w:val="bottom"/>
          </w:tcPr>
          <w:p>
            <w:pPr>
              <w:ind w:left="780"/>
              <w:spacing w:after="0"/>
              <w:rPr>
                <w:sz w:val="20"/>
                <w:szCs w:val="20"/>
                <w:color w:val="auto"/>
              </w:rPr>
            </w:pPr>
            <w:r>
              <w:rPr>
                <w:rFonts w:ascii="Arial" w:cs="Arial" w:eastAsia="Arial" w:hAnsi="Arial"/>
                <w:sz w:val="14"/>
                <w:szCs w:val="14"/>
                <w:color w:val="auto"/>
              </w:rPr>
              <w:t xml:space="preserve">* </w:t>
            </w:r>
          </w:p>
        </w:tc>
      </w:tr>
      <w:tr>
        <w:trPr>
          <w:trHeight w:val="35"/>
        </w:trPr>
        <w:tc>
          <w:tcPr>
            <w:tcW w:w="48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4820" w:type="dxa"/>
            <w:vAlign w:val="bottom"/>
            <w:tcBorders>
              <w:bottom w:val="single" w:sz="8" w:color="D7E8F5"/>
            </w:tcBorders>
            <w:shd w:val="clear" w:color="auto" w:fill="D7E8F5"/>
          </w:tcPr>
          <w:p>
            <w:pPr>
              <w:ind w:left="160"/>
              <w:spacing w:after="0"/>
              <w:rPr>
                <w:sz w:val="20"/>
                <w:szCs w:val="20"/>
                <w:color w:val="auto"/>
              </w:rPr>
            </w:pPr>
            <w:r>
              <w:rPr>
                <w:rFonts w:ascii="Arial" w:cs="Arial" w:eastAsia="Arial" w:hAnsi="Arial"/>
                <w:sz w:val="14"/>
                <w:szCs w:val="14"/>
                <w:color w:val="auto"/>
              </w:rPr>
              <w:t>Amy W. Schulman</w:t>
            </w:r>
          </w:p>
        </w:tc>
        <w:tc>
          <w:tcPr>
            <w:tcW w:w="1740" w:type="dxa"/>
            <w:vAlign w:val="bottom"/>
            <w:tcBorders>
              <w:bottom w:val="single" w:sz="8" w:color="D7E8F5"/>
            </w:tcBorders>
            <w:shd w:val="clear" w:color="auto" w:fill="D7E8F5"/>
          </w:tcPr>
          <w:p>
            <w:pPr>
              <w:jc w:val="right"/>
              <w:ind w:right="488"/>
              <w:spacing w:after="0"/>
              <w:rPr>
                <w:sz w:val="20"/>
                <w:szCs w:val="20"/>
                <w:color w:val="auto"/>
              </w:rPr>
            </w:pPr>
            <w:r>
              <w:rPr>
                <w:rFonts w:ascii="Arial" w:cs="Arial" w:eastAsia="Arial" w:hAnsi="Arial"/>
                <w:sz w:val="14"/>
                <w:szCs w:val="14"/>
                <w:color w:val="auto"/>
              </w:rPr>
              <w:t>136</w:t>
            </w:r>
          </w:p>
        </w:tc>
        <w:tc>
          <w:tcPr>
            <w:tcW w:w="1640" w:type="dxa"/>
            <w:vAlign w:val="bottom"/>
            <w:tcBorders>
              <w:bottom w:val="single" w:sz="8" w:color="D7E8F5"/>
            </w:tcBorders>
            <w:shd w:val="clear" w:color="auto" w:fill="D7E8F5"/>
          </w:tcPr>
          <w:p>
            <w:pPr>
              <w:jc w:val="right"/>
              <w:ind w:right="388"/>
              <w:spacing w:after="0"/>
              <w:rPr>
                <w:sz w:val="20"/>
                <w:szCs w:val="20"/>
                <w:color w:val="auto"/>
              </w:rPr>
            </w:pPr>
            <w:r>
              <w:rPr>
                <w:rFonts w:ascii="Arial" w:cs="Arial" w:eastAsia="Arial" w:hAnsi="Arial"/>
                <w:sz w:val="14"/>
                <w:szCs w:val="14"/>
                <w:color w:val="auto"/>
              </w:rPr>
              <w:t>97,330</w:t>
            </w:r>
          </w:p>
        </w:tc>
        <w:tc>
          <w:tcPr>
            <w:tcW w:w="1380" w:type="dxa"/>
            <w:vAlign w:val="bottom"/>
            <w:tcBorders>
              <w:bottom w:val="single" w:sz="8" w:color="D7E8F5"/>
            </w:tcBorders>
            <w:shd w:val="clear" w:color="auto" w:fill="D7E8F5"/>
          </w:tcPr>
          <w:p>
            <w:pPr>
              <w:jc w:val="right"/>
              <w:ind w:right="288"/>
              <w:spacing w:after="0"/>
              <w:rPr>
                <w:sz w:val="20"/>
                <w:szCs w:val="20"/>
                <w:color w:val="auto"/>
              </w:rPr>
            </w:pPr>
            <w:r>
              <w:rPr>
                <w:rFonts w:ascii="Arial" w:cs="Arial" w:eastAsia="Arial" w:hAnsi="Arial"/>
                <w:sz w:val="14"/>
                <w:szCs w:val="14"/>
                <w:color w:val="auto"/>
              </w:rPr>
              <w:t>97,466</w:t>
            </w:r>
          </w:p>
        </w:tc>
        <w:tc>
          <w:tcPr>
            <w:tcW w:w="1440" w:type="dxa"/>
            <w:vAlign w:val="bottom"/>
            <w:tcBorders>
              <w:bottom w:val="single" w:sz="8" w:color="D7E8F5"/>
            </w:tcBorders>
            <w:shd w:val="clear" w:color="auto" w:fill="D7E8F5"/>
          </w:tcPr>
          <w:p>
            <w:pPr>
              <w:ind w:left="780"/>
              <w:spacing w:after="0"/>
              <w:rPr>
                <w:sz w:val="20"/>
                <w:szCs w:val="20"/>
                <w:color w:val="auto"/>
              </w:rPr>
            </w:pPr>
            <w:r>
              <w:rPr>
                <w:rFonts w:ascii="Arial" w:cs="Arial" w:eastAsia="Arial" w:hAnsi="Arial"/>
                <w:sz w:val="14"/>
                <w:szCs w:val="14"/>
                <w:color w:val="auto"/>
              </w:rPr>
              <w:t xml:space="preserve">* </w:t>
            </w:r>
          </w:p>
        </w:tc>
      </w:tr>
      <w:tr>
        <w:trPr>
          <w:trHeight w:val="235"/>
        </w:trPr>
        <w:tc>
          <w:tcPr>
            <w:tcW w:w="4820" w:type="dxa"/>
            <w:vAlign w:val="bottom"/>
          </w:tcPr>
          <w:p>
            <w:pPr>
              <w:ind w:left="160"/>
              <w:spacing w:after="0"/>
              <w:rPr>
                <w:sz w:val="20"/>
                <w:szCs w:val="20"/>
                <w:color w:val="auto"/>
              </w:rPr>
            </w:pPr>
            <w:r>
              <w:rPr>
                <w:rFonts w:ascii="Arial" w:cs="Arial" w:eastAsia="Arial" w:hAnsi="Arial"/>
                <w:sz w:val="14"/>
                <w:szCs w:val="14"/>
                <w:color w:val="auto"/>
              </w:rPr>
              <w:t>Phillip A. Sharp, Ph.D.</w:t>
            </w:r>
          </w:p>
        </w:tc>
        <w:tc>
          <w:tcPr>
            <w:tcW w:w="1740" w:type="dxa"/>
            <w:vAlign w:val="bottom"/>
          </w:tcPr>
          <w:p>
            <w:pPr>
              <w:jc w:val="right"/>
              <w:ind w:right="248"/>
              <w:spacing w:after="0"/>
              <w:rPr>
                <w:sz w:val="20"/>
                <w:szCs w:val="20"/>
                <w:color w:val="auto"/>
              </w:rPr>
            </w:pPr>
            <w:r>
              <w:rPr>
                <w:rFonts w:ascii="Arial" w:cs="Arial" w:eastAsia="Arial" w:hAnsi="Arial"/>
                <w:sz w:val="14"/>
                <w:szCs w:val="14"/>
                <w:color w:val="auto"/>
              </w:rPr>
              <w:t>266,899(13)</w:t>
            </w:r>
          </w:p>
        </w:tc>
        <w:tc>
          <w:tcPr>
            <w:tcW w:w="1640" w:type="dxa"/>
            <w:vAlign w:val="bottom"/>
          </w:tcPr>
          <w:p>
            <w:pPr>
              <w:jc w:val="right"/>
              <w:ind w:right="388"/>
              <w:spacing w:after="0"/>
              <w:rPr>
                <w:sz w:val="20"/>
                <w:szCs w:val="20"/>
                <w:color w:val="auto"/>
              </w:rPr>
            </w:pPr>
            <w:r>
              <w:rPr>
                <w:rFonts w:ascii="Arial" w:cs="Arial" w:eastAsia="Arial" w:hAnsi="Arial"/>
                <w:sz w:val="14"/>
                <w:szCs w:val="14"/>
                <w:color w:val="auto"/>
              </w:rPr>
              <w:t>95,516</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362,415</w:t>
            </w:r>
          </w:p>
        </w:tc>
        <w:tc>
          <w:tcPr>
            <w:tcW w:w="1440" w:type="dxa"/>
            <w:vAlign w:val="bottom"/>
          </w:tcPr>
          <w:p>
            <w:pPr>
              <w:ind w:left="780"/>
              <w:spacing w:after="0"/>
              <w:rPr>
                <w:sz w:val="20"/>
                <w:szCs w:val="20"/>
                <w:color w:val="auto"/>
              </w:rPr>
            </w:pPr>
            <w:r>
              <w:rPr>
                <w:rFonts w:ascii="Arial" w:cs="Arial" w:eastAsia="Arial" w:hAnsi="Arial"/>
                <w:sz w:val="14"/>
                <w:szCs w:val="14"/>
                <w:color w:val="auto"/>
              </w:rPr>
              <w:t xml:space="preserve">* </w:t>
            </w:r>
          </w:p>
        </w:tc>
      </w:tr>
      <w:tr>
        <w:trPr>
          <w:trHeight w:val="35"/>
        </w:trPr>
        <w:tc>
          <w:tcPr>
            <w:tcW w:w="48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4820" w:type="dxa"/>
            <w:vAlign w:val="bottom"/>
            <w:tcBorders>
              <w:bottom w:val="single" w:sz="8" w:color="D7E8F5"/>
            </w:tcBorders>
            <w:shd w:val="clear" w:color="auto" w:fill="D7E8F5"/>
          </w:tcPr>
          <w:p>
            <w:pPr>
              <w:ind w:left="160"/>
              <w:spacing w:after="0"/>
              <w:rPr>
                <w:sz w:val="20"/>
                <w:szCs w:val="20"/>
                <w:color w:val="auto"/>
              </w:rPr>
            </w:pPr>
            <w:r>
              <w:rPr>
                <w:rFonts w:ascii="Arial" w:cs="Arial" w:eastAsia="Arial" w:hAnsi="Arial"/>
                <w:sz w:val="14"/>
                <w:szCs w:val="14"/>
                <w:color w:val="auto"/>
              </w:rPr>
              <w:t>Elliott Sigal, M.D., Ph.D.</w:t>
            </w:r>
          </w:p>
        </w:tc>
        <w:tc>
          <w:tcPr>
            <w:tcW w:w="1740" w:type="dxa"/>
            <w:vAlign w:val="bottom"/>
            <w:tcBorders>
              <w:bottom w:val="single" w:sz="8" w:color="D7E8F5"/>
            </w:tcBorders>
            <w:shd w:val="clear" w:color="auto" w:fill="D7E8F5"/>
          </w:tcPr>
          <w:p>
            <w:pPr>
              <w:jc w:val="right"/>
              <w:ind w:right="488"/>
              <w:spacing w:after="0"/>
              <w:rPr>
                <w:sz w:val="20"/>
                <w:szCs w:val="20"/>
                <w:color w:val="auto"/>
              </w:rPr>
            </w:pPr>
            <w:r>
              <w:rPr>
                <w:rFonts w:ascii="Arial" w:cs="Arial" w:eastAsia="Arial" w:hAnsi="Arial"/>
                <w:sz w:val="14"/>
                <w:szCs w:val="14"/>
                <w:color w:val="auto"/>
              </w:rPr>
              <w:t>2,000</w:t>
            </w:r>
          </w:p>
        </w:tc>
        <w:tc>
          <w:tcPr>
            <w:tcW w:w="1640" w:type="dxa"/>
            <w:vAlign w:val="bottom"/>
            <w:tcBorders>
              <w:bottom w:val="single" w:sz="8" w:color="D7E8F5"/>
            </w:tcBorders>
            <w:shd w:val="clear" w:color="auto" w:fill="D7E8F5"/>
          </w:tcPr>
          <w:p>
            <w:pPr>
              <w:jc w:val="right"/>
              <w:ind w:right="388"/>
              <w:spacing w:after="0"/>
              <w:rPr>
                <w:sz w:val="20"/>
                <w:szCs w:val="20"/>
                <w:color w:val="auto"/>
              </w:rPr>
            </w:pPr>
            <w:r>
              <w:rPr>
                <w:rFonts w:ascii="Arial" w:cs="Arial" w:eastAsia="Arial" w:hAnsi="Arial"/>
                <w:sz w:val="14"/>
                <w:szCs w:val="14"/>
                <w:color w:val="auto"/>
              </w:rPr>
              <w:t>1,486</w:t>
            </w:r>
          </w:p>
        </w:tc>
        <w:tc>
          <w:tcPr>
            <w:tcW w:w="1380" w:type="dxa"/>
            <w:vAlign w:val="bottom"/>
            <w:tcBorders>
              <w:bottom w:val="single" w:sz="8" w:color="D7E8F5"/>
            </w:tcBorders>
            <w:shd w:val="clear" w:color="auto" w:fill="D7E8F5"/>
          </w:tcPr>
          <w:p>
            <w:pPr>
              <w:jc w:val="right"/>
              <w:ind w:right="288"/>
              <w:spacing w:after="0"/>
              <w:rPr>
                <w:sz w:val="20"/>
                <w:szCs w:val="20"/>
                <w:color w:val="auto"/>
              </w:rPr>
            </w:pPr>
            <w:r>
              <w:rPr>
                <w:rFonts w:ascii="Arial" w:cs="Arial" w:eastAsia="Arial" w:hAnsi="Arial"/>
                <w:sz w:val="14"/>
                <w:szCs w:val="14"/>
                <w:color w:val="auto"/>
              </w:rPr>
              <w:t>3,486</w:t>
            </w:r>
          </w:p>
        </w:tc>
        <w:tc>
          <w:tcPr>
            <w:tcW w:w="1440" w:type="dxa"/>
            <w:vAlign w:val="bottom"/>
            <w:tcBorders>
              <w:bottom w:val="single" w:sz="8" w:color="D7E8F5"/>
            </w:tcBorders>
            <w:shd w:val="clear" w:color="auto" w:fill="D7E8F5"/>
          </w:tcPr>
          <w:p>
            <w:pPr>
              <w:ind w:left="780"/>
              <w:spacing w:after="0"/>
              <w:rPr>
                <w:sz w:val="20"/>
                <w:szCs w:val="20"/>
                <w:color w:val="auto"/>
              </w:rPr>
            </w:pPr>
            <w:r>
              <w:rPr>
                <w:rFonts w:ascii="Arial" w:cs="Arial" w:eastAsia="Arial" w:hAnsi="Arial"/>
                <w:sz w:val="14"/>
                <w:szCs w:val="14"/>
                <w:color w:val="auto"/>
              </w:rPr>
              <w:t xml:space="preserve">* </w:t>
            </w:r>
          </w:p>
        </w:tc>
      </w:tr>
      <w:tr>
        <w:trPr>
          <w:trHeight w:val="235"/>
        </w:trPr>
        <w:tc>
          <w:tcPr>
            <w:tcW w:w="4820" w:type="dxa"/>
            <w:vAlign w:val="bottom"/>
          </w:tcPr>
          <w:p>
            <w:pPr>
              <w:ind w:left="160"/>
              <w:spacing w:after="0"/>
              <w:rPr>
                <w:sz w:val="20"/>
                <w:szCs w:val="20"/>
                <w:color w:val="auto"/>
              </w:rPr>
            </w:pPr>
            <w:r>
              <w:rPr>
                <w:rFonts w:ascii="Arial" w:cs="Arial" w:eastAsia="Arial" w:hAnsi="Arial"/>
                <w:sz w:val="14"/>
                <w:szCs w:val="14"/>
                <w:color w:val="auto"/>
              </w:rPr>
              <w:t>Yvonne L. Greenstreet, MBChB, MBA</w:t>
            </w:r>
          </w:p>
        </w:tc>
        <w:tc>
          <w:tcPr>
            <w:tcW w:w="1740" w:type="dxa"/>
            <w:vAlign w:val="bottom"/>
          </w:tcPr>
          <w:p>
            <w:pPr>
              <w:jc w:val="right"/>
              <w:ind w:right="248"/>
              <w:spacing w:after="0"/>
              <w:rPr>
                <w:sz w:val="20"/>
                <w:szCs w:val="20"/>
                <w:color w:val="auto"/>
              </w:rPr>
            </w:pPr>
            <w:r>
              <w:rPr>
                <w:rFonts w:ascii="Arial" w:cs="Arial" w:eastAsia="Arial" w:hAnsi="Arial"/>
                <w:sz w:val="14"/>
                <w:szCs w:val="14"/>
                <w:color w:val="auto"/>
              </w:rPr>
              <w:t>35,623(15)</w:t>
            </w:r>
          </w:p>
        </w:tc>
        <w:tc>
          <w:tcPr>
            <w:tcW w:w="1640" w:type="dxa"/>
            <w:vAlign w:val="bottom"/>
          </w:tcPr>
          <w:p>
            <w:pPr>
              <w:jc w:val="right"/>
              <w:ind w:right="388"/>
              <w:spacing w:after="0"/>
              <w:rPr>
                <w:sz w:val="20"/>
                <w:szCs w:val="20"/>
                <w:color w:val="auto"/>
              </w:rPr>
            </w:pPr>
            <w:r>
              <w:rPr>
                <w:rFonts w:ascii="Arial" w:cs="Arial" w:eastAsia="Arial" w:hAnsi="Arial"/>
                <w:sz w:val="14"/>
                <w:szCs w:val="14"/>
                <w:color w:val="auto"/>
              </w:rPr>
              <w:t>188,911</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224,534</w:t>
            </w:r>
          </w:p>
        </w:tc>
        <w:tc>
          <w:tcPr>
            <w:tcW w:w="1440" w:type="dxa"/>
            <w:vAlign w:val="bottom"/>
          </w:tcPr>
          <w:p>
            <w:pPr>
              <w:ind w:left="780"/>
              <w:spacing w:after="0"/>
              <w:rPr>
                <w:sz w:val="20"/>
                <w:szCs w:val="20"/>
                <w:color w:val="auto"/>
              </w:rPr>
            </w:pPr>
            <w:r>
              <w:rPr>
                <w:rFonts w:ascii="Arial" w:cs="Arial" w:eastAsia="Arial" w:hAnsi="Arial"/>
                <w:sz w:val="14"/>
                <w:szCs w:val="14"/>
                <w:color w:val="auto"/>
              </w:rPr>
              <w:t xml:space="preserve">* </w:t>
            </w:r>
          </w:p>
        </w:tc>
      </w:tr>
      <w:tr>
        <w:trPr>
          <w:trHeight w:val="35"/>
        </w:trPr>
        <w:tc>
          <w:tcPr>
            <w:tcW w:w="48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4820" w:type="dxa"/>
            <w:vAlign w:val="bottom"/>
            <w:tcBorders>
              <w:bottom w:val="single" w:sz="8" w:color="D7E8F5"/>
            </w:tcBorders>
            <w:shd w:val="clear" w:color="auto" w:fill="D7E8F5"/>
          </w:tcPr>
          <w:p>
            <w:pPr>
              <w:ind w:left="160"/>
              <w:spacing w:after="0"/>
              <w:rPr>
                <w:sz w:val="20"/>
                <w:szCs w:val="20"/>
                <w:color w:val="auto"/>
              </w:rPr>
            </w:pPr>
            <w:r>
              <w:rPr>
                <w:rFonts w:ascii="Arial" w:cs="Arial" w:eastAsia="Arial" w:hAnsi="Arial"/>
                <w:sz w:val="14"/>
                <w:szCs w:val="14"/>
                <w:color w:val="auto"/>
              </w:rPr>
              <w:t>Jeffrey V. Poulton</w:t>
            </w:r>
          </w:p>
        </w:tc>
        <w:tc>
          <w:tcPr>
            <w:tcW w:w="1740" w:type="dxa"/>
            <w:vAlign w:val="bottom"/>
            <w:tcBorders>
              <w:bottom w:val="single" w:sz="8" w:color="D7E8F5"/>
            </w:tcBorders>
            <w:shd w:val="clear" w:color="auto" w:fill="D7E8F5"/>
          </w:tcPr>
          <w:p>
            <w:pPr>
              <w:jc w:val="right"/>
              <w:ind w:right="248"/>
              <w:spacing w:after="0"/>
              <w:rPr>
                <w:sz w:val="20"/>
                <w:szCs w:val="20"/>
                <w:color w:val="auto"/>
              </w:rPr>
            </w:pPr>
            <w:r>
              <w:rPr>
                <w:rFonts w:ascii="Arial" w:cs="Arial" w:eastAsia="Arial" w:hAnsi="Arial"/>
                <w:sz w:val="14"/>
                <w:szCs w:val="14"/>
                <w:color w:val="auto"/>
              </w:rPr>
              <w:t>15,930(15)</w:t>
            </w:r>
          </w:p>
        </w:tc>
        <w:tc>
          <w:tcPr>
            <w:tcW w:w="1640" w:type="dxa"/>
            <w:vAlign w:val="bottom"/>
            <w:tcBorders>
              <w:bottom w:val="single" w:sz="8" w:color="D7E8F5"/>
            </w:tcBorders>
            <w:shd w:val="clear" w:color="auto" w:fill="D7E8F5"/>
          </w:tcPr>
          <w:p>
            <w:pPr>
              <w:jc w:val="right"/>
              <w:ind w:right="388"/>
              <w:spacing w:after="0"/>
              <w:rPr>
                <w:sz w:val="20"/>
                <w:szCs w:val="20"/>
                <w:color w:val="auto"/>
              </w:rPr>
            </w:pPr>
            <w:r>
              <w:rPr>
                <w:rFonts w:ascii="Arial" w:cs="Arial" w:eastAsia="Arial" w:hAnsi="Arial"/>
                <w:sz w:val="14"/>
                <w:szCs w:val="14"/>
                <w:color w:val="auto"/>
              </w:rPr>
              <w:t>179,124</w:t>
            </w:r>
          </w:p>
        </w:tc>
        <w:tc>
          <w:tcPr>
            <w:tcW w:w="1380" w:type="dxa"/>
            <w:vAlign w:val="bottom"/>
            <w:tcBorders>
              <w:bottom w:val="single" w:sz="8" w:color="D7E8F5"/>
            </w:tcBorders>
            <w:shd w:val="clear" w:color="auto" w:fill="D7E8F5"/>
          </w:tcPr>
          <w:p>
            <w:pPr>
              <w:jc w:val="right"/>
              <w:ind w:right="288"/>
              <w:spacing w:after="0"/>
              <w:rPr>
                <w:sz w:val="20"/>
                <w:szCs w:val="20"/>
                <w:color w:val="auto"/>
              </w:rPr>
            </w:pPr>
            <w:r>
              <w:rPr>
                <w:rFonts w:ascii="Arial" w:cs="Arial" w:eastAsia="Arial" w:hAnsi="Arial"/>
                <w:sz w:val="14"/>
                <w:szCs w:val="14"/>
                <w:color w:val="auto"/>
              </w:rPr>
              <w:t>195,054</w:t>
            </w:r>
          </w:p>
        </w:tc>
        <w:tc>
          <w:tcPr>
            <w:tcW w:w="1440" w:type="dxa"/>
            <w:vAlign w:val="bottom"/>
            <w:tcBorders>
              <w:bottom w:val="single" w:sz="8" w:color="D7E8F5"/>
            </w:tcBorders>
            <w:shd w:val="clear" w:color="auto" w:fill="D7E8F5"/>
          </w:tcPr>
          <w:p>
            <w:pPr>
              <w:ind w:left="780"/>
              <w:spacing w:after="0"/>
              <w:rPr>
                <w:sz w:val="20"/>
                <w:szCs w:val="20"/>
                <w:color w:val="auto"/>
              </w:rPr>
            </w:pPr>
            <w:r>
              <w:rPr>
                <w:rFonts w:ascii="Arial" w:cs="Arial" w:eastAsia="Arial" w:hAnsi="Arial"/>
                <w:sz w:val="14"/>
                <w:szCs w:val="14"/>
                <w:color w:val="auto"/>
              </w:rPr>
              <w:t xml:space="preserve">* </w:t>
            </w:r>
          </w:p>
        </w:tc>
      </w:tr>
      <w:tr>
        <w:trPr>
          <w:trHeight w:val="235"/>
        </w:trPr>
        <w:tc>
          <w:tcPr>
            <w:tcW w:w="4820" w:type="dxa"/>
            <w:vAlign w:val="bottom"/>
          </w:tcPr>
          <w:p>
            <w:pPr>
              <w:ind w:left="160"/>
              <w:spacing w:after="0"/>
              <w:rPr>
                <w:sz w:val="20"/>
                <w:szCs w:val="20"/>
                <w:color w:val="auto"/>
              </w:rPr>
            </w:pPr>
            <w:r>
              <w:rPr>
                <w:rFonts w:ascii="Arial" w:cs="Arial" w:eastAsia="Arial" w:hAnsi="Arial"/>
                <w:sz w:val="14"/>
                <w:szCs w:val="14"/>
                <w:color w:val="auto"/>
              </w:rPr>
              <w:t>Pushkal Garg, M.D.</w:t>
            </w:r>
          </w:p>
        </w:tc>
        <w:tc>
          <w:tcPr>
            <w:tcW w:w="1740" w:type="dxa"/>
            <w:vAlign w:val="bottom"/>
          </w:tcPr>
          <w:p>
            <w:pPr>
              <w:jc w:val="right"/>
              <w:spacing w:after="0"/>
              <w:rPr>
                <w:sz w:val="20"/>
                <w:szCs w:val="20"/>
                <w:color w:val="auto"/>
              </w:rPr>
            </w:pPr>
            <w:r>
              <w:rPr>
                <w:rFonts w:ascii="Arial" w:cs="Arial" w:eastAsia="Arial" w:hAnsi="Arial"/>
                <w:sz w:val="14"/>
                <w:szCs w:val="14"/>
                <w:color w:val="auto"/>
              </w:rPr>
              <w:t>5,026(14)(15)</w:t>
            </w:r>
          </w:p>
        </w:tc>
        <w:tc>
          <w:tcPr>
            <w:tcW w:w="1640" w:type="dxa"/>
            <w:vAlign w:val="bottom"/>
          </w:tcPr>
          <w:p>
            <w:pPr>
              <w:jc w:val="right"/>
              <w:ind w:right="388"/>
              <w:spacing w:after="0"/>
              <w:rPr>
                <w:sz w:val="20"/>
                <w:szCs w:val="20"/>
                <w:color w:val="auto"/>
              </w:rPr>
            </w:pPr>
            <w:r>
              <w:rPr>
                <w:rFonts w:ascii="Arial" w:cs="Arial" w:eastAsia="Arial" w:hAnsi="Arial"/>
                <w:sz w:val="14"/>
                <w:szCs w:val="14"/>
                <w:color w:val="auto"/>
              </w:rPr>
              <w:t>172,890</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177,916</w:t>
            </w:r>
          </w:p>
        </w:tc>
        <w:tc>
          <w:tcPr>
            <w:tcW w:w="1440" w:type="dxa"/>
            <w:vAlign w:val="bottom"/>
          </w:tcPr>
          <w:p>
            <w:pPr>
              <w:ind w:left="780"/>
              <w:spacing w:after="0"/>
              <w:rPr>
                <w:sz w:val="20"/>
                <w:szCs w:val="20"/>
                <w:color w:val="auto"/>
              </w:rPr>
            </w:pPr>
            <w:r>
              <w:rPr>
                <w:rFonts w:ascii="Arial" w:cs="Arial" w:eastAsia="Arial" w:hAnsi="Arial"/>
                <w:sz w:val="14"/>
                <w:szCs w:val="14"/>
                <w:color w:val="auto"/>
              </w:rPr>
              <w:t xml:space="preserve">* </w:t>
            </w:r>
          </w:p>
        </w:tc>
      </w:tr>
      <w:tr>
        <w:trPr>
          <w:trHeight w:val="35"/>
        </w:trPr>
        <w:tc>
          <w:tcPr>
            <w:tcW w:w="48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4820" w:type="dxa"/>
            <w:vAlign w:val="bottom"/>
            <w:tcBorders>
              <w:bottom w:val="single" w:sz="8" w:color="D7E8F5"/>
            </w:tcBorders>
            <w:shd w:val="clear" w:color="auto" w:fill="D7E8F5"/>
          </w:tcPr>
          <w:p>
            <w:pPr>
              <w:ind w:left="160"/>
              <w:spacing w:after="0"/>
              <w:rPr>
                <w:sz w:val="20"/>
                <w:szCs w:val="20"/>
                <w:color w:val="auto"/>
              </w:rPr>
            </w:pPr>
            <w:r>
              <w:rPr>
                <w:rFonts w:ascii="Arial" w:cs="Arial" w:eastAsia="Arial" w:hAnsi="Arial"/>
                <w:sz w:val="14"/>
                <w:szCs w:val="14"/>
                <w:color w:val="auto"/>
              </w:rPr>
              <w:t>Tolga Tanguler</w:t>
            </w:r>
          </w:p>
        </w:tc>
        <w:tc>
          <w:tcPr>
            <w:tcW w:w="1740" w:type="dxa"/>
            <w:vAlign w:val="bottom"/>
            <w:tcBorders>
              <w:bottom w:val="single" w:sz="8" w:color="D7E8F5"/>
            </w:tcBorders>
            <w:shd w:val="clear" w:color="auto" w:fill="D7E8F5"/>
          </w:tcPr>
          <w:p>
            <w:pPr>
              <w:jc w:val="right"/>
              <w:ind w:right="488"/>
              <w:spacing w:after="0"/>
              <w:rPr>
                <w:sz w:val="20"/>
                <w:szCs w:val="20"/>
                <w:color w:val="auto"/>
              </w:rPr>
            </w:pPr>
            <w:r>
              <w:rPr>
                <w:rFonts w:ascii="Arial" w:cs="Arial" w:eastAsia="Arial" w:hAnsi="Arial"/>
                <w:sz w:val="14"/>
                <w:szCs w:val="14"/>
                <w:color w:val="auto"/>
              </w:rPr>
              <w:t>1,801</w:t>
            </w:r>
          </w:p>
        </w:tc>
        <w:tc>
          <w:tcPr>
            <w:tcW w:w="1640" w:type="dxa"/>
            <w:vAlign w:val="bottom"/>
            <w:tcBorders>
              <w:bottom w:val="single" w:sz="8" w:color="D7E8F5"/>
            </w:tcBorders>
            <w:shd w:val="clear" w:color="auto" w:fill="D7E8F5"/>
          </w:tcPr>
          <w:p>
            <w:pPr>
              <w:jc w:val="right"/>
              <w:ind w:right="388"/>
              <w:spacing w:after="0"/>
              <w:rPr>
                <w:sz w:val="20"/>
                <w:szCs w:val="20"/>
                <w:color w:val="auto"/>
              </w:rPr>
            </w:pPr>
            <w:r>
              <w:rPr>
                <w:rFonts w:ascii="Arial" w:cs="Arial" w:eastAsia="Arial" w:hAnsi="Arial"/>
                <w:sz w:val="14"/>
                <w:szCs w:val="14"/>
                <w:color w:val="auto"/>
              </w:rPr>
              <w:t>54,142</w:t>
            </w:r>
          </w:p>
        </w:tc>
        <w:tc>
          <w:tcPr>
            <w:tcW w:w="1380" w:type="dxa"/>
            <w:vAlign w:val="bottom"/>
            <w:tcBorders>
              <w:bottom w:val="single" w:sz="8" w:color="D7E8F5"/>
            </w:tcBorders>
            <w:shd w:val="clear" w:color="auto" w:fill="D7E8F5"/>
          </w:tcPr>
          <w:p>
            <w:pPr>
              <w:jc w:val="right"/>
              <w:ind w:right="288"/>
              <w:spacing w:after="0"/>
              <w:rPr>
                <w:sz w:val="20"/>
                <w:szCs w:val="20"/>
                <w:color w:val="auto"/>
              </w:rPr>
            </w:pPr>
            <w:r>
              <w:rPr>
                <w:rFonts w:ascii="Arial" w:cs="Arial" w:eastAsia="Arial" w:hAnsi="Arial"/>
                <w:sz w:val="14"/>
                <w:szCs w:val="14"/>
                <w:color w:val="auto"/>
              </w:rPr>
              <w:t>55,943</w:t>
            </w:r>
          </w:p>
        </w:tc>
        <w:tc>
          <w:tcPr>
            <w:tcW w:w="1440" w:type="dxa"/>
            <w:vAlign w:val="bottom"/>
            <w:tcBorders>
              <w:bottom w:val="single" w:sz="8" w:color="D7E8F5"/>
            </w:tcBorders>
            <w:shd w:val="clear" w:color="auto" w:fill="D7E8F5"/>
          </w:tcPr>
          <w:p>
            <w:pPr>
              <w:ind w:left="780"/>
              <w:spacing w:after="0"/>
              <w:rPr>
                <w:sz w:val="20"/>
                <w:szCs w:val="20"/>
                <w:color w:val="auto"/>
              </w:rPr>
            </w:pPr>
            <w:r>
              <w:rPr>
                <w:rFonts w:ascii="Arial" w:cs="Arial" w:eastAsia="Arial" w:hAnsi="Arial"/>
                <w:sz w:val="14"/>
                <w:szCs w:val="14"/>
                <w:color w:val="auto"/>
              </w:rPr>
              <w:t xml:space="preserve">* </w:t>
            </w:r>
          </w:p>
        </w:tc>
      </w:tr>
      <w:tr>
        <w:trPr>
          <w:trHeight w:val="235"/>
        </w:trPr>
        <w:tc>
          <w:tcPr>
            <w:tcW w:w="4820" w:type="dxa"/>
            <w:vAlign w:val="bottom"/>
          </w:tcPr>
          <w:p>
            <w:pPr>
              <w:ind w:left="160"/>
              <w:spacing w:after="0"/>
              <w:rPr>
                <w:sz w:val="20"/>
                <w:szCs w:val="20"/>
                <w:color w:val="auto"/>
              </w:rPr>
            </w:pPr>
            <w:r>
              <w:rPr>
                <w:rFonts w:ascii="Arial" w:cs="Arial" w:eastAsia="Arial" w:hAnsi="Arial"/>
                <w:sz w:val="14"/>
                <w:szCs w:val="14"/>
                <w:color w:val="auto"/>
              </w:rPr>
              <w:t>Indrani L. Franchini, J.D.(18)</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388"/>
              <w:spacing w:after="0"/>
              <w:rPr>
                <w:sz w:val="20"/>
                <w:szCs w:val="20"/>
                <w:color w:val="auto"/>
              </w:rPr>
            </w:pPr>
            <w:r>
              <w:rPr>
                <w:rFonts w:ascii="Arial" w:cs="Arial" w:eastAsia="Arial" w:hAnsi="Arial"/>
                <w:sz w:val="14"/>
                <w:szCs w:val="14"/>
                <w:color w:val="auto"/>
              </w:rPr>
              <w:t>15,954</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15,954</w:t>
            </w:r>
          </w:p>
        </w:tc>
        <w:tc>
          <w:tcPr>
            <w:tcW w:w="1440" w:type="dxa"/>
            <w:vAlign w:val="bottom"/>
          </w:tcPr>
          <w:p>
            <w:pPr>
              <w:ind w:left="780"/>
              <w:spacing w:after="0"/>
              <w:rPr>
                <w:sz w:val="20"/>
                <w:szCs w:val="20"/>
                <w:color w:val="auto"/>
              </w:rPr>
            </w:pPr>
            <w:r>
              <w:rPr>
                <w:rFonts w:ascii="Arial" w:cs="Arial" w:eastAsia="Arial" w:hAnsi="Arial"/>
                <w:sz w:val="14"/>
                <w:szCs w:val="14"/>
                <w:color w:val="auto"/>
              </w:rPr>
              <w:t xml:space="preserve">* </w:t>
            </w:r>
          </w:p>
        </w:tc>
      </w:tr>
      <w:tr>
        <w:trPr>
          <w:trHeight w:val="35"/>
        </w:trPr>
        <w:tc>
          <w:tcPr>
            <w:tcW w:w="48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4820" w:type="dxa"/>
            <w:vAlign w:val="bottom"/>
            <w:tcBorders>
              <w:bottom w:val="single" w:sz="8" w:color="D7E8F5"/>
            </w:tcBorders>
            <w:shd w:val="clear" w:color="auto" w:fill="D7E8F5"/>
          </w:tcPr>
          <w:p>
            <w:pPr>
              <w:ind w:left="160"/>
              <w:spacing w:after="0"/>
              <w:rPr>
                <w:sz w:val="20"/>
                <w:szCs w:val="20"/>
                <w:color w:val="auto"/>
              </w:rPr>
            </w:pPr>
            <w:r>
              <w:rPr>
                <w:rFonts w:ascii="Arial" w:cs="Arial" w:eastAsia="Arial" w:hAnsi="Arial"/>
                <w:sz w:val="14"/>
                <w:szCs w:val="14"/>
                <w:color w:val="auto"/>
              </w:rPr>
              <w:t>Akshay K. Vaishnaw, M.D., Ph.D.(19)</w:t>
            </w:r>
          </w:p>
        </w:tc>
        <w:tc>
          <w:tcPr>
            <w:tcW w:w="1740" w:type="dxa"/>
            <w:vAlign w:val="bottom"/>
            <w:tcBorders>
              <w:bottom w:val="single" w:sz="8" w:color="D7E8F5"/>
            </w:tcBorders>
            <w:shd w:val="clear" w:color="auto" w:fill="D7E8F5"/>
          </w:tcPr>
          <w:p>
            <w:pPr>
              <w:jc w:val="right"/>
              <w:ind w:right="248"/>
              <w:spacing w:after="0"/>
              <w:rPr>
                <w:sz w:val="20"/>
                <w:szCs w:val="20"/>
                <w:color w:val="auto"/>
              </w:rPr>
            </w:pPr>
            <w:r>
              <w:rPr>
                <w:rFonts w:ascii="Arial" w:cs="Arial" w:eastAsia="Arial" w:hAnsi="Arial"/>
                <w:sz w:val="14"/>
                <w:szCs w:val="14"/>
                <w:color w:val="auto"/>
              </w:rPr>
              <w:t>23,289(15)</w:t>
            </w:r>
          </w:p>
        </w:tc>
        <w:tc>
          <w:tcPr>
            <w:tcW w:w="1640" w:type="dxa"/>
            <w:vAlign w:val="bottom"/>
            <w:tcBorders>
              <w:bottom w:val="single" w:sz="8" w:color="D7E8F5"/>
            </w:tcBorders>
            <w:shd w:val="clear" w:color="auto" w:fill="D7E8F5"/>
          </w:tcPr>
          <w:p>
            <w:pPr>
              <w:jc w:val="right"/>
              <w:ind w:right="388"/>
              <w:spacing w:after="0"/>
              <w:rPr>
                <w:sz w:val="20"/>
                <w:szCs w:val="20"/>
                <w:color w:val="auto"/>
              </w:rPr>
            </w:pPr>
            <w:r>
              <w:rPr>
                <w:rFonts w:ascii="Arial" w:cs="Arial" w:eastAsia="Arial" w:hAnsi="Arial"/>
                <w:sz w:val="14"/>
                <w:szCs w:val="14"/>
                <w:color w:val="auto"/>
              </w:rPr>
              <w:t>301,355</w:t>
            </w:r>
          </w:p>
        </w:tc>
        <w:tc>
          <w:tcPr>
            <w:tcW w:w="1380" w:type="dxa"/>
            <w:vAlign w:val="bottom"/>
            <w:tcBorders>
              <w:bottom w:val="single" w:sz="8" w:color="D7E8F5"/>
            </w:tcBorders>
            <w:shd w:val="clear" w:color="auto" w:fill="D7E8F5"/>
          </w:tcPr>
          <w:p>
            <w:pPr>
              <w:jc w:val="right"/>
              <w:ind w:right="288"/>
              <w:spacing w:after="0"/>
              <w:rPr>
                <w:sz w:val="20"/>
                <w:szCs w:val="20"/>
                <w:color w:val="auto"/>
              </w:rPr>
            </w:pPr>
            <w:r>
              <w:rPr>
                <w:rFonts w:ascii="Arial" w:cs="Arial" w:eastAsia="Arial" w:hAnsi="Arial"/>
                <w:sz w:val="14"/>
                <w:szCs w:val="14"/>
                <w:color w:val="auto"/>
              </w:rPr>
              <w:t>324,644</w:t>
            </w:r>
          </w:p>
        </w:tc>
        <w:tc>
          <w:tcPr>
            <w:tcW w:w="1440" w:type="dxa"/>
            <w:vAlign w:val="bottom"/>
            <w:tcBorders>
              <w:bottom w:val="single" w:sz="8" w:color="D7E8F5"/>
            </w:tcBorders>
            <w:shd w:val="clear" w:color="auto" w:fill="D7E8F5"/>
          </w:tcPr>
          <w:p>
            <w:pPr>
              <w:ind w:left="780"/>
              <w:spacing w:after="0"/>
              <w:rPr>
                <w:sz w:val="20"/>
                <w:szCs w:val="20"/>
                <w:color w:val="auto"/>
              </w:rPr>
            </w:pPr>
            <w:r>
              <w:rPr>
                <w:rFonts w:ascii="Arial" w:cs="Arial" w:eastAsia="Arial" w:hAnsi="Arial"/>
                <w:sz w:val="14"/>
                <w:szCs w:val="14"/>
                <w:color w:val="auto"/>
              </w:rPr>
              <w:t xml:space="preserve">* </w:t>
            </w:r>
          </w:p>
        </w:tc>
      </w:tr>
      <w:tr>
        <w:trPr>
          <w:trHeight w:val="207"/>
        </w:trPr>
        <w:tc>
          <w:tcPr>
            <w:tcW w:w="4820" w:type="dxa"/>
            <w:vAlign w:val="bottom"/>
          </w:tcPr>
          <w:p>
            <w:pPr>
              <w:ind w:left="60"/>
              <w:spacing w:after="0"/>
              <w:rPr>
                <w:sz w:val="20"/>
                <w:szCs w:val="20"/>
                <w:color w:val="auto"/>
              </w:rPr>
            </w:pPr>
            <w:r>
              <w:rPr>
                <w:rFonts w:ascii="Arial" w:cs="Arial" w:eastAsia="Arial" w:hAnsi="Arial"/>
                <w:sz w:val="14"/>
                <w:szCs w:val="14"/>
                <w:b w:val="1"/>
                <w:bCs w:val="1"/>
                <w:color w:val="auto"/>
              </w:rPr>
              <w:t>All current directors and current executive officers as a group (18</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4820" w:type="dxa"/>
            <w:vAlign w:val="bottom"/>
          </w:tcPr>
          <w:p>
            <w:pPr>
              <w:ind w:left="60"/>
              <w:spacing w:after="0"/>
              <w:rPr>
                <w:sz w:val="20"/>
                <w:szCs w:val="20"/>
                <w:color w:val="auto"/>
              </w:rPr>
            </w:pPr>
            <w:r>
              <w:rPr>
                <w:rFonts w:ascii="Arial" w:cs="Arial" w:eastAsia="Arial" w:hAnsi="Arial"/>
                <w:sz w:val="14"/>
                <w:szCs w:val="14"/>
                <w:b w:val="1"/>
                <w:bCs w:val="1"/>
                <w:color w:val="auto"/>
              </w:rPr>
              <w:t>persons)</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402,677</w:t>
            </w:r>
          </w:p>
        </w:tc>
        <w:tc>
          <w:tcPr>
            <w:tcW w:w="1640" w:type="dxa"/>
            <w:vAlign w:val="bottom"/>
          </w:tcPr>
          <w:p>
            <w:pPr>
              <w:jc w:val="right"/>
              <w:ind w:right="388"/>
              <w:spacing w:after="0"/>
              <w:rPr>
                <w:sz w:val="20"/>
                <w:szCs w:val="20"/>
                <w:color w:val="auto"/>
              </w:rPr>
            </w:pPr>
            <w:r>
              <w:rPr>
                <w:rFonts w:ascii="Arial" w:cs="Arial" w:eastAsia="Arial" w:hAnsi="Arial"/>
                <w:sz w:val="14"/>
                <w:szCs w:val="14"/>
                <w:color w:val="auto"/>
              </w:rPr>
              <w:t>1,475,725</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1,878,402</w:t>
            </w:r>
          </w:p>
        </w:tc>
        <w:tc>
          <w:tcPr>
            <w:tcW w:w="1440" w:type="dxa"/>
            <w:vAlign w:val="bottom"/>
          </w:tcPr>
          <w:p>
            <w:pPr>
              <w:ind w:left="620"/>
              <w:spacing w:after="0"/>
              <w:rPr>
                <w:sz w:val="20"/>
                <w:szCs w:val="20"/>
                <w:color w:val="auto"/>
              </w:rPr>
            </w:pPr>
            <w:r>
              <w:rPr>
                <w:rFonts w:ascii="Arial" w:cs="Arial" w:eastAsia="Arial" w:hAnsi="Arial"/>
                <w:sz w:val="14"/>
                <w:szCs w:val="14"/>
                <w:color w:val="auto"/>
              </w:rPr>
              <w:t>1.5</w:t>
            </w:r>
          </w:p>
        </w:tc>
      </w:tr>
      <w:tr>
        <w:trPr>
          <w:trHeight w:val="117"/>
        </w:trPr>
        <w:tc>
          <w:tcPr>
            <w:tcW w:w="4820" w:type="dxa"/>
            <w:vAlign w:val="bottom"/>
            <w:tcBorders>
              <w:bottom w:val="single" w:sz="8" w:color="1D3060"/>
            </w:tcBorders>
          </w:tcPr>
          <w:p>
            <w:pPr>
              <w:spacing w:after="0"/>
              <w:rPr>
                <w:sz w:val="10"/>
                <w:szCs w:val="10"/>
                <w:color w:val="auto"/>
              </w:rPr>
            </w:pPr>
          </w:p>
        </w:tc>
        <w:tc>
          <w:tcPr>
            <w:tcW w:w="1740" w:type="dxa"/>
            <w:vAlign w:val="bottom"/>
            <w:tcBorders>
              <w:bottom w:val="single" w:sz="8" w:color="1D3060"/>
            </w:tcBorders>
          </w:tcPr>
          <w:p>
            <w:pPr>
              <w:spacing w:after="0"/>
              <w:rPr>
                <w:sz w:val="10"/>
                <w:szCs w:val="10"/>
                <w:color w:val="auto"/>
              </w:rPr>
            </w:pPr>
          </w:p>
        </w:tc>
        <w:tc>
          <w:tcPr>
            <w:tcW w:w="1640" w:type="dxa"/>
            <w:vAlign w:val="bottom"/>
            <w:tcBorders>
              <w:bottom w:val="single" w:sz="8" w:color="1D3060"/>
            </w:tcBorders>
          </w:tcPr>
          <w:p>
            <w:pPr>
              <w:spacing w:after="0"/>
              <w:rPr>
                <w:sz w:val="10"/>
                <w:szCs w:val="10"/>
                <w:color w:val="auto"/>
              </w:rPr>
            </w:pPr>
          </w:p>
        </w:tc>
        <w:tc>
          <w:tcPr>
            <w:tcW w:w="1380" w:type="dxa"/>
            <w:vAlign w:val="bottom"/>
            <w:tcBorders>
              <w:bottom w:val="single" w:sz="8" w:color="1D3060"/>
            </w:tcBorders>
          </w:tcPr>
          <w:p>
            <w:pPr>
              <w:spacing w:after="0"/>
              <w:rPr>
                <w:sz w:val="10"/>
                <w:szCs w:val="10"/>
                <w:color w:val="auto"/>
              </w:rPr>
            </w:pPr>
          </w:p>
        </w:tc>
        <w:tc>
          <w:tcPr>
            <w:tcW w:w="1440" w:type="dxa"/>
            <w:vAlign w:val="bottom"/>
            <w:tcBorders>
              <w:bottom w:val="single" w:sz="8" w:color="1D3060"/>
            </w:tcBorders>
          </w:tcPr>
          <w:p>
            <w:pPr>
              <w:spacing w:after="0"/>
              <w:rPr>
                <w:sz w:val="10"/>
                <w:szCs w:val="10"/>
                <w:color w:val="auto"/>
              </w:rPr>
            </w:pPr>
          </w:p>
        </w:tc>
      </w:tr>
    </w:tbl>
    <w:p>
      <w:pPr>
        <w:spacing w:after="0" w:line="229" w:lineRule="exact"/>
        <w:rPr>
          <w:sz w:val="20"/>
          <w:szCs w:val="20"/>
          <w:color w:val="auto"/>
        </w:rPr>
      </w:pPr>
    </w:p>
    <w:p>
      <w:pPr>
        <w:ind w:left="760" w:hanging="644"/>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Less than 1% of our outstanding common stock.</w:t>
      </w:r>
    </w:p>
    <w:p>
      <w:pPr>
        <w:spacing w:after="0" w:line="248" w:lineRule="exact"/>
        <w:rPr>
          <w:sz w:val="20"/>
          <w:szCs w:val="20"/>
          <w:color w:val="auto"/>
        </w:rPr>
      </w:pPr>
    </w:p>
    <w:p>
      <w:pPr>
        <w:ind w:left="760" w:right="280" w:hanging="644"/>
        <w:spacing w:after="0" w:line="286"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Unless otherwise indicated, the address of each stockholder is c/o Alnylam Pharmaceuticals, Inc., 675 West Kendall Street, Henri A. Termeer Square, Cambridge, MA 02142.</w:t>
      </w:r>
    </w:p>
    <w:p>
      <w:pPr>
        <w:spacing w:after="0" w:line="182" w:lineRule="exact"/>
        <w:rPr>
          <w:rFonts w:ascii="Arial" w:cs="Arial" w:eastAsia="Arial" w:hAnsi="Arial"/>
          <w:sz w:val="16"/>
          <w:szCs w:val="16"/>
          <w:color w:val="auto"/>
        </w:rPr>
      </w:pPr>
    </w:p>
    <w:p>
      <w:pPr>
        <w:ind w:left="760" w:right="400" w:hanging="644"/>
        <w:spacing w:after="0" w:line="286"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Reflects shares issuable upon the exercise of stock options that are exercisable or will become exercisable within 60 days after January 31, 2024.</w:t>
      </w:r>
    </w:p>
    <w:p>
      <w:pPr>
        <w:spacing w:after="0" w:line="182" w:lineRule="exact"/>
        <w:rPr>
          <w:rFonts w:ascii="Arial" w:cs="Arial" w:eastAsia="Arial" w:hAnsi="Arial"/>
          <w:sz w:val="16"/>
          <w:szCs w:val="16"/>
          <w:color w:val="auto"/>
        </w:rPr>
      </w:pPr>
    </w:p>
    <w:p>
      <w:pPr>
        <w:ind w:left="760" w:right="480" w:hanging="644"/>
        <w:spacing w:after="0" w:line="259"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Percentage of beneficial ownership is based on 125,933,946 shares of our common stock outstanding as of January 31, 2024. Shares of common stock subject to options currently exercisable, or exercisable within 60 days of January 31, 2024, are deemed outstanding for computing the percentage of the common stock beneficially owned by the person holding such options but are not deemed outstanding for computing the percentage ownership of any other person.</w:t>
      </w:r>
    </w:p>
    <w:p>
      <w:pPr>
        <w:spacing w:after="0" w:line="204" w:lineRule="exact"/>
        <w:rPr>
          <w:rFonts w:ascii="Arial" w:cs="Arial" w:eastAsia="Arial" w:hAnsi="Arial"/>
          <w:sz w:val="16"/>
          <w:szCs w:val="16"/>
          <w:color w:val="auto"/>
        </w:rPr>
      </w:pPr>
    </w:p>
    <w:p>
      <w:pPr>
        <w:ind w:left="760" w:right="240" w:hanging="644"/>
        <w:spacing w:after="0" w:line="266"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solely on Amendment No. 2 to a Schedule 13G filed by Capital World Investors with the SEC on February 9, 2024, as of December 31, 2023, Capital World Investors has the sole power to vote 16,350,708 of the shares owned, and sole dispositive power for 16,398,889 of the shares owned. The address of Capital World Investors is 333 South Hope Street, 55th Floor, Los Angeles, California 90071.</w:t>
      </w:r>
    </w:p>
    <w:p>
      <w:pPr>
        <w:spacing w:after="0" w:line="198" w:lineRule="exact"/>
        <w:rPr>
          <w:rFonts w:ascii="Arial" w:cs="Arial" w:eastAsia="Arial" w:hAnsi="Arial"/>
          <w:sz w:val="16"/>
          <w:szCs w:val="16"/>
          <w:color w:val="auto"/>
        </w:rPr>
      </w:pPr>
    </w:p>
    <w:p>
      <w:pPr>
        <w:ind w:left="760" w:right="60" w:hanging="644"/>
        <w:spacing w:after="0" w:line="266"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solely on Amendment No. 8 to a Schedule 13G filed by The Vanguard Group with the SEC on February 13, 2024, as of December 31, 2023, The Vanguard Group has shared power to vote 95,902 of the shares owned, sole dispositive power for 11,654,786 of the shares owned and shared dispositive power for 289,109 of the shares owned. The address of The Vanguard Group is 100 Vanguard Blvd., Malvern, PA 19355.</w:t>
      </w:r>
    </w:p>
    <w:p>
      <w:pPr>
        <w:spacing w:after="0" w:line="198" w:lineRule="exact"/>
        <w:rPr>
          <w:rFonts w:ascii="Arial" w:cs="Arial" w:eastAsia="Arial" w:hAnsi="Arial"/>
          <w:sz w:val="16"/>
          <w:szCs w:val="16"/>
          <w:color w:val="auto"/>
        </w:rPr>
      </w:pPr>
    </w:p>
    <w:p>
      <w:pPr>
        <w:ind w:left="760" w:right="120" w:hanging="644"/>
        <w:spacing w:after="0" w:line="251"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solely on Amendment No. 19 to a Schedule 13G filed by FMR LLC (previously known as FMR Corp.) with the SEC on February 9, 2024, as of December 31, 2023, Fidelity Management &amp; Research Company, a wholly-owned subsidiary of FMR LLC and an investment adviser registered under Section 203 of the Investment Advisers Act of 1940, is the beneficial owner of 10,342,397 shares of our common stock, as a result of acting as an investment adviser to various investment companies registered under Section 8 of the Investment Company Act of 1940. Abigail P. Johnson, Director, Chairman and Chief Executive Officer of FMR LLC and FMR LLC, through its control of Fidelity Management &amp; Research Company and the funds, each has sole power to dispose of the 10,342,397 shares of our common stock owned by such funds. Fidelity Management &amp; Research Company carries out the voting of the shares under written guidelines established by the funds’ Boards of Trustees. Various persons have the right to receive or the power to direct the receipt of dividends from, or the proceeds from the sale of, the shares of our common stock held by these funds. The address of FMR LLC is 245 Summer Street, Boston, MA 02210.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760" w:right="280" w:hanging="644"/>
        <w:spacing w:after="0" w:line="256"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solely on Amendment No. 7 to a Schedule 13G filed by BlackRock, Inc. with the SEC on January 26, 2024, as of December 31, 2023, BlackRock, Inc. has the sole power to vote or direct the voting of 7,837,640 of the shares owned and sole power to dispose or to direct the disposition of 8,546,557 shares of our common stock. Various persons have the right to receive or the power to direct the receipt of dividends from, or the proceeds from the sale of, the shares of our common stock held by BlackRock, Inc. The address of BlackRock, Inc. is 50 Hudson Yards, New York, NY 10001.</w:t>
      </w:r>
    </w:p>
    <w:p>
      <w:pPr>
        <w:spacing w:after="0" w:line="206" w:lineRule="exact"/>
        <w:rPr>
          <w:rFonts w:ascii="Arial" w:cs="Arial" w:eastAsia="Arial" w:hAnsi="Arial"/>
          <w:sz w:val="16"/>
          <w:szCs w:val="16"/>
          <w:color w:val="auto"/>
        </w:rPr>
      </w:pPr>
    </w:p>
    <w:p>
      <w:pPr>
        <w:ind w:left="760" w:right="120" w:hanging="644"/>
        <w:spacing w:after="0" w:line="253"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solely on Amendment No. 12 to a Schedule 13G filed by Wellington Management Group LLP (formerly Wellington Management Company, LLP), or Wellington Management, with the SEC on February 9, 2024, as of December 31, 2023, Wellington Management, in its capacity as an investment adviser, may be deemed to beneficially own 7,252,907 shares of our common stock which are held of record by clients of Wellington Management. Those clients have the right to receive, or the power to direct the receipt of, dividends from, or the proceeds from the sale of, such securities. Wellington Management has shared power to vote or to direct the vote with respect to 7,095,212 shares of our common stock and shared power to dispose or to direct the disposition of 7,252,907 shares of our common stock. The address of Wellington Management is 280 Congress Street, Boston, MA 02210.</w:t>
      </w:r>
    </w:p>
    <w:p>
      <w:pPr>
        <w:spacing w:after="0" w:line="208" w:lineRule="exact"/>
        <w:rPr>
          <w:rFonts w:ascii="Arial" w:cs="Arial" w:eastAsia="Arial" w:hAnsi="Arial"/>
          <w:sz w:val="16"/>
          <w:szCs w:val="16"/>
          <w:color w:val="auto"/>
        </w:rPr>
      </w:pPr>
    </w:p>
    <w:p>
      <w:pPr>
        <w:ind w:left="760" w:right="20" w:hanging="644"/>
        <w:spacing w:after="0" w:line="256"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solely on Amendment No. 4 to a Schedule 13G filed by Baillie Gifford &amp; Co. with the SEC on January 29, 2024, as of December 31, 2023,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has the sole power to vote 5,774,616 of the shares owned, and sole dispositive power for 6,967,097 of the shares owned. The address of Baillie Gifford &amp; Co. is Calton Square, 1 Greenside Row, Edinburgh EH1 3AN, Scotland, UK.</w:t>
      </w:r>
    </w:p>
    <w:p>
      <w:pPr>
        <w:spacing w:after="0" w:line="206" w:lineRule="exact"/>
        <w:rPr>
          <w:rFonts w:ascii="Arial" w:cs="Arial" w:eastAsia="Arial" w:hAnsi="Arial"/>
          <w:sz w:val="16"/>
          <w:szCs w:val="16"/>
          <w:color w:val="auto"/>
        </w:rPr>
      </w:pPr>
    </w:p>
    <w:p>
      <w:pPr>
        <w:ind w:left="760" w:hanging="644"/>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shares of our common stock held in a trust, of which Dr. Ausiello’s spouse is the trustee.</w:t>
      </w:r>
    </w:p>
    <w:p>
      <w:pPr>
        <w:spacing w:after="0" w:line="248" w:lineRule="exact"/>
        <w:rPr>
          <w:rFonts w:ascii="Arial" w:cs="Arial" w:eastAsia="Arial" w:hAnsi="Arial"/>
          <w:sz w:val="16"/>
          <w:szCs w:val="16"/>
          <w:color w:val="auto"/>
        </w:rPr>
      </w:pPr>
    </w:p>
    <w:p>
      <w:pPr>
        <w:ind w:left="760" w:right="300" w:hanging="644"/>
        <w:spacing w:after="0" w:line="286"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shares of our common stock held in a trust, of which Mr. Bonney is the trustee and over which he has sole voting and investment power.</w:t>
      </w:r>
    </w:p>
    <w:p>
      <w:pPr>
        <w:spacing w:after="0" w:line="182" w:lineRule="exact"/>
        <w:rPr>
          <w:rFonts w:ascii="Arial" w:cs="Arial" w:eastAsia="Arial" w:hAnsi="Arial"/>
          <w:sz w:val="16"/>
          <w:szCs w:val="16"/>
          <w:color w:val="auto"/>
        </w:rPr>
      </w:pPr>
    </w:p>
    <w:p>
      <w:pPr>
        <w:ind w:left="760" w:right="480" w:hanging="644"/>
        <w:spacing w:after="0" w:line="286"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shares of our common stock held in a trust, of which Mr. Pyott is the trustee and over which he has sole voting and investment power.</w:t>
      </w:r>
    </w:p>
    <w:p>
      <w:pPr>
        <w:spacing w:after="0" w:line="182" w:lineRule="exact"/>
        <w:rPr>
          <w:rFonts w:ascii="Arial" w:cs="Arial" w:eastAsia="Arial" w:hAnsi="Arial"/>
          <w:sz w:val="16"/>
          <w:szCs w:val="16"/>
          <w:color w:val="auto"/>
        </w:rPr>
      </w:pPr>
    </w:p>
    <w:p>
      <w:pPr>
        <w:ind w:left="760" w:right="400" w:hanging="644"/>
        <w:spacing w:after="0" w:line="286"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shares of our common stock held by the Phillip A. Sharp Revocable Trust, of which Dr. Sharp and his spouse are co-trustees. Also includes shares held in trusts for the benefit of Dr. Sharp’s children, of which Dr. Sharp’s spouse and children are the trustees.</w:t>
      </w:r>
    </w:p>
    <w:p>
      <w:pPr>
        <w:spacing w:after="0" w:line="182" w:lineRule="exact"/>
        <w:rPr>
          <w:rFonts w:ascii="Arial" w:cs="Arial" w:eastAsia="Arial" w:hAnsi="Arial"/>
          <w:sz w:val="16"/>
          <w:szCs w:val="16"/>
          <w:color w:val="auto"/>
        </w:rPr>
      </w:pPr>
    </w:p>
    <w:p>
      <w:pPr>
        <w:ind w:left="760" w:hanging="644"/>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shares of our common stock held in a trust, of which Dr. Garg and his spouse are co-trustees.</w:t>
      </w:r>
    </w:p>
    <w:p>
      <w:pPr>
        <w:spacing w:after="0" w:line="248" w:lineRule="exact"/>
        <w:rPr>
          <w:rFonts w:ascii="Arial" w:cs="Arial" w:eastAsia="Arial" w:hAnsi="Arial"/>
          <w:sz w:val="16"/>
          <w:szCs w:val="16"/>
          <w:color w:val="auto"/>
        </w:rPr>
      </w:pPr>
    </w:p>
    <w:p>
      <w:pPr>
        <w:ind w:left="760" w:hanging="644"/>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shares of our common stock contributed by Alnylam to our 401(k) plan for the benefit of our NEOs through December 31, 2023:</w:t>
      </w:r>
    </w:p>
    <w:p>
      <w:pPr>
        <w:spacing w:after="0" w:line="21" w:lineRule="exact"/>
        <w:rPr>
          <w:rFonts w:ascii="Arial" w:cs="Arial" w:eastAsia="Arial" w:hAnsi="Arial"/>
          <w:sz w:val="16"/>
          <w:szCs w:val="16"/>
          <w:color w:val="auto"/>
        </w:rPr>
      </w:pPr>
    </w:p>
    <w:p>
      <w:pPr>
        <w:ind w:left="760" w:right="300"/>
        <w:spacing w:after="0" w:line="265" w:lineRule="auto"/>
        <w:rPr>
          <w:rFonts w:ascii="Arial" w:cs="Arial" w:eastAsia="Arial" w:hAnsi="Arial"/>
          <w:sz w:val="16"/>
          <w:szCs w:val="16"/>
          <w:color w:val="auto"/>
        </w:rPr>
      </w:pPr>
      <w:r>
        <w:rPr>
          <w:rFonts w:ascii="Arial" w:cs="Arial" w:eastAsia="Arial" w:hAnsi="Arial"/>
          <w:sz w:val="16"/>
          <w:szCs w:val="16"/>
          <w:color w:val="auto"/>
        </w:rPr>
        <w:t>Dr. Greenstreet, 407 shares; Dr. Vaishnaw, 515 shares; Mr. Poulton, 57 shares; and Dr. Garg, 431 shares. Prior to 2020, our matching 401(k) contributions were made in the form of shares of our common stock.</w:t>
      </w:r>
    </w:p>
    <w:p>
      <w:pPr>
        <w:spacing w:after="0" w:line="198" w:lineRule="exact"/>
        <w:rPr>
          <w:rFonts w:ascii="Arial" w:cs="Arial" w:eastAsia="Arial" w:hAnsi="Arial"/>
          <w:sz w:val="16"/>
          <w:szCs w:val="16"/>
          <w:color w:val="auto"/>
        </w:rPr>
      </w:pPr>
    </w:p>
    <w:p>
      <w:pPr>
        <w:ind w:left="760" w:hanging="644"/>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Dr. Bertozzi was elected to our board effective January 5, 2023.</w:t>
      </w:r>
    </w:p>
    <w:p>
      <w:pPr>
        <w:spacing w:after="0" w:line="248" w:lineRule="exact"/>
        <w:rPr>
          <w:rFonts w:ascii="Arial" w:cs="Arial" w:eastAsia="Arial" w:hAnsi="Arial"/>
          <w:sz w:val="16"/>
          <w:szCs w:val="16"/>
          <w:color w:val="auto"/>
        </w:rPr>
      </w:pPr>
    </w:p>
    <w:p>
      <w:pPr>
        <w:ind w:left="760" w:hanging="644"/>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Kellogg was elected to our board effective March 7, 2023.</w:t>
      </w:r>
    </w:p>
    <w:p>
      <w:pPr>
        <w:spacing w:after="0" w:line="248" w:lineRule="exact"/>
        <w:rPr>
          <w:rFonts w:ascii="Arial" w:cs="Arial" w:eastAsia="Arial" w:hAnsi="Arial"/>
          <w:sz w:val="16"/>
          <w:szCs w:val="16"/>
          <w:color w:val="auto"/>
        </w:rPr>
      </w:pPr>
    </w:p>
    <w:p>
      <w:pPr>
        <w:ind w:left="760" w:hanging="644"/>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Franchini’s employment with us terminated effective March 1, 2024.</w:t>
      </w:r>
    </w:p>
    <w:p>
      <w:pPr>
        <w:spacing w:after="0" w:line="248" w:lineRule="exact"/>
        <w:rPr>
          <w:rFonts w:ascii="Arial" w:cs="Arial" w:eastAsia="Arial" w:hAnsi="Arial"/>
          <w:sz w:val="16"/>
          <w:szCs w:val="16"/>
          <w:color w:val="auto"/>
        </w:rPr>
      </w:pPr>
    </w:p>
    <w:p>
      <w:pPr>
        <w:ind w:left="760" w:right="80" w:hanging="644"/>
        <w:spacing w:after="0" w:line="286"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Dr. Vaishnaw ceased serving as an executive officer effective October 2, 2023 when he transitioned from the role of President to a part-time role as Chief Innovation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Delinquent Section 16(a) Reports</w:t>
      </w:r>
    </w:p>
    <w:p>
      <w:pPr>
        <w:spacing w:after="0" w:line="204" w:lineRule="exact"/>
        <w:rPr>
          <w:sz w:val="20"/>
          <w:szCs w:val="20"/>
          <w:color w:val="auto"/>
        </w:rPr>
      </w:pPr>
    </w:p>
    <w:p>
      <w:pPr>
        <w:ind w:left="120" w:right="100" w:firstLine="771"/>
        <w:spacing w:after="0" w:line="233" w:lineRule="auto"/>
        <w:rPr>
          <w:sz w:val="20"/>
          <w:szCs w:val="20"/>
          <w:color w:val="auto"/>
        </w:rPr>
      </w:pPr>
      <w:r>
        <w:rPr>
          <w:rFonts w:ascii="Arial" w:cs="Arial" w:eastAsia="Arial" w:hAnsi="Arial"/>
          <w:sz w:val="20"/>
          <w:szCs w:val="20"/>
          <w:color w:val="auto"/>
        </w:rPr>
        <w:t>Section 16(a) of the Exchange Act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stockholders are required by SEC regulations to furnish us with copies of all Section 16(a) forms they file. Based solely on a review of our records and written representations by the persons required to file these reports, we believe that all such persons complied on a timely basis with the filing requirements of Section 16(a) during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88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8970" cy="63881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EXECUTIVE OFFICERS</w:t>
      </w:r>
    </w:p>
    <w:p>
      <w:pPr>
        <w:spacing w:after="0" w:line="200" w:lineRule="exact"/>
        <w:rPr>
          <w:sz w:val="20"/>
          <w:szCs w:val="20"/>
          <w:color w:val="auto"/>
        </w:rPr>
      </w:pPr>
    </w:p>
    <w:p>
      <w:pPr>
        <w:spacing w:after="0" w:line="347" w:lineRule="exact"/>
        <w:rPr>
          <w:sz w:val="20"/>
          <w:szCs w:val="20"/>
          <w:color w:val="auto"/>
        </w:rPr>
      </w:pPr>
    </w:p>
    <w:p>
      <w:pPr>
        <w:ind w:left="120" w:right="40" w:firstLine="771"/>
        <w:spacing w:after="0" w:line="232" w:lineRule="auto"/>
        <w:rPr>
          <w:sz w:val="20"/>
          <w:szCs w:val="20"/>
          <w:color w:val="auto"/>
        </w:rPr>
      </w:pPr>
      <w:r>
        <w:rPr>
          <w:rFonts w:ascii="Arial" w:cs="Arial" w:eastAsia="Arial" w:hAnsi="Arial"/>
          <w:sz w:val="20"/>
          <w:szCs w:val="20"/>
          <w:color w:val="auto"/>
        </w:rPr>
        <w:t>All executive officers of the company are appointed annually and serve at the pleasure of our board of directors. Set forth below with respect to each executive officer is information as of March 31, 2024 with respect to his or her (a) name and age, (b) positions and offices at Alnylam, (c) principal occupation and business experience during at least the past five years, and (d) directorships, if any, of other publicly-held companies, held currently or during the past five years. There are no family relationships between any of our directors and executive officers. None of the corporations or other organizations referred to below with which an executive officer has previously been employed or otherwise associated is a parent, subsidiary or affiliate of Alnylam.</w:t>
      </w:r>
    </w:p>
    <w:p>
      <w:pPr>
        <w:spacing w:after="0" w:line="170" w:lineRule="exact"/>
        <w:rPr>
          <w:sz w:val="20"/>
          <w:szCs w:val="20"/>
          <w:color w:val="auto"/>
        </w:rPr>
      </w:pPr>
    </w:p>
    <w:p>
      <w:pPr>
        <w:ind w:left="120" w:right="100" w:firstLine="771"/>
        <w:spacing w:after="0"/>
        <w:rPr>
          <w:sz w:val="20"/>
          <w:szCs w:val="20"/>
          <w:color w:val="auto"/>
        </w:rPr>
      </w:pPr>
      <w:r>
        <w:rPr>
          <w:rFonts w:ascii="Arial" w:cs="Arial" w:eastAsia="Arial" w:hAnsi="Arial"/>
          <w:sz w:val="19"/>
          <w:szCs w:val="19"/>
          <w:b w:val="1"/>
          <w:bCs w:val="1"/>
          <w:color w:val="1D3060"/>
        </w:rPr>
        <w:t>Yvonne L. Greenstreet, MBChB, MBA</w:t>
      </w:r>
      <w:r>
        <w:rPr>
          <w:rFonts w:ascii="Arial" w:cs="Arial" w:eastAsia="Arial" w:hAnsi="Arial"/>
          <w:sz w:val="19"/>
          <w:szCs w:val="19"/>
          <w:color w:val="000000"/>
        </w:rPr>
        <w:t>, 61, has served as our Chief Executive Officer since January 2022 and as a</w:t>
      </w:r>
      <w:r>
        <w:rPr>
          <w:rFonts w:ascii="Arial" w:cs="Arial" w:eastAsia="Arial" w:hAnsi="Arial"/>
          <w:sz w:val="19"/>
          <w:szCs w:val="19"/>
          <w:b w:val="1"/>
          <w:bCs w:val="1"/>
          <w:color w:val="1D3060"/>
        </w:rPr>
        <w:t xml:space="preserve"> </w:t>
      </w:r>
      <w:r>
        <w:rPr>
          <w:rFonts w:ascii="Arial" w:cs="Arial" w:eastAsia="Arial" w:hAnsi="Arial"/>
          <w:sz w:val="19"/>
          <w:szCs w:val="19"/>
          <w:color w:val="000000"/>
        </w:rPr>
        <w:t>member of our board of directors since October 2021. Dr. Greenstreet previously served as President and Chief Operating Officer since October 2020 and was our Chief Operating Officer from September 2016 to October 2020. Prior to joining Alnylam, Dr. Greenstreet served as the founder and Managing Director of Highgate LLC, from January 2014 to August 2016. Prior to that time, Dr. Greenstreet served as the Senior Vice President and Head of Medicines Development at Pfizer Inc., or Pfizer, a multinational pharmaceutical company, from December 2010 to November 2013. Prior to joining Pfizer,</w:t>
      </w:r>
    </w:p>
    <w:p>
      <w:pPr>
        <w:spacing w:after="0" w:line="5" w:lineRule="exact"/>
        <w:rPr>
          <w:sz w:val="20"/>
          <w:szCs w:val="20"/>
          <w:color w:val="auto"/>
        </w:rPr>
      </w:pPr>
    </w:p>
    <w:p>
      <w:pPr>
        <w:ind w:left="120" w:right="140"/>
        <w:spacing w:after="0" w:line="244" w:lineRule="auto"/>
        <w:rPr>
          <w:sz w:val="20"/>
          <w:szCs w:val="20"/>
          <w:color w:val="auto"/>
        </w:rPr>
      </w:pPr>
      <w:r>
        <w:rPr>
          <w:rFonts w:ascii="Arial" w:cs="Arial" w:eastAsia="Arial" w:hAnsi="Arial"/>
          <w:sz w:val="19"/>
          <w:szCs w:val="19"/>
          <w:color w:val="auto"/>
        </w:rPr>
        <w:t>Dr. Greenstreet worked for 18 years at GlaxoSmithKline plc, or GSK, a multinational pharmaceutical, biologics, vaccines and consumer healthcare company, where she served in various positions, most recently as Senior Vice President and Chief of Strategy for Research and Development and as a member of GSK’s Product Management Board. Dr. Greenstreet currently serves on the Scientific Advisory Committee of the Bill and Melinda Gates Foundation and serves as a director of The American Funds. Dr. Greenstreet previously served on the board of directors of argenx SE and Pacira BioSciences, Inc.</w:t>
      </w:r>
    </w:p>
    <w:p>
      <w:pPr>
        <w:spacing w:after="0" w:line="165" w:lineRule="exact"/>
        <w:rPr>
          <w:sz w:val="20"/>
          <w:szCs w:val="20"/>
          <w:color w:val="auto"/>
        </w:rPr>
      </w:pPr>
    </w:p>
    <w:p>
      <w:pPr>
        <w:ind w:left="120" w:right="40" w:firstLine="771"/>
        <w:spacing w:after="0" w:line="229" w:lineRule="auto"/>
        <w:rPr>
          <w:sz w:val="20"/>
          <w:szCs w:val="20"/>
          <w:color w:val="auto"/>
        </w:rPr>
      </w:pPr>
      <w:r>
        <w:rPr>
          <w:rFonts w:ascii="Arial" w:cs="Arial" w:eastAsia="Arial" w:hAnsi="Arial"/>
          <w:sz w:val="20"/>
          <w:szCs w:val="20"/>
          <w:b w:val="1"/>
          <w:bCs w:val="1"/>
          <w:color w:val="1D3060"/>
        </w:rPr>
        <w:t>Jeffrey V. Poulton</w:t>
      </w:r>
      <w:r>
        <w:rPr>
          <w:rFonts w:ascii="Arial" w:cs="Arial" w:eastAsia="Arial" w:hAnsi="Arial"/>
          <w:sz w:val="20"/>
          <w:szCs w:val="20"/>
          <w:color w:val="000000"/>
        </w:rPr>
        <w:t>, 56, has served as our Executive Vice President and Chief Financial Officer since August 2019.</w:t>
      </w:r>
      <w:r>
        <w:rPr>
          <w:rFonts w:ascii="Arial" w:cs="Arial" w:eastAsia="Arial" w:hAnsi="Arial"/>
          <w:sz w:val="20"/>
          <w:szCs w:val="20"/>
          <w:b w:val="1"/>
          <w:bCs w:val="1"/>
          <w:color w:val="1D3060"/>
        </w:rPr>
        <w:t xml:space="preserve"> </w:t>
      </w:r>
      <w:r>
        <w:rPr>
          <w:rFonts w:ascii="Arial" w:cs="Arial" w:eastAsia="Arial" w:hAnsi="Arial"/>
          <w:sz w:val="20"/>
          <w:szCs w:val="20"/>
          <w:color w:val="000000"/>
        </w:rPr>
        <w:t>Prior to joining Alnylam, Mr. Poulton served as Chief Financial Officer of Indigo Agriculture, a plant microbiome company, from January 2018 to April 2019, where he supported the initial commercial scale-up of the business, including expansion outside the U.S. Between 2003 and December 2017, Mr. Poulton held various roles of increasing responsibility at Shire Plc, most recently as Chief Financial Officer and a member of Shire’s Executive Committee and Board of Directors from January 2015 to December 2017. During his tenure at Shire, Mr. Poulton also led Shire’s rare disease U.S., LATAM, and Asia Pacific commercial operations, as well as Shire’s global rare disease business unit. Prior to Shire, Mr. Poulton led corporate finance and business development initiatives in both the gas and electric utilities industry and the materials manufacturing sector, serving in financial leadership positions at Cinergy Corp and PPG Industries. Mr. Poulton also serves as a member of the board of directors of CervoMed Inc., and previously served on the board of Homology Medicines, Inc. Mr. Poulton also served in the United States Navy as a Commissioned Officer.</w:t>
      </w:r>
    </w:p>
    <w:p>
      <w:pPr>
        <w:spacing w:after="0" w:line="178" w:lineRule="exact"/>
        <w:rPr>
          <w:sz w:val="20"/>
          <w:szCs w:val="20"/>
          <w:color w:val="auto"/>
        </w:rPr>
      </w:pPr>
    </w:p>
    <w:p>
      <w:pPr>
        <w:ind w:left="120" w:right="20" w:firstLine="771"/>
        <w:spacing w:after="0" w:line="235" w:lineRule="auto"/>
        <w:rPr>
          <w:sz w:val="20"/>
          <w:szCs w:val="20"/>
          <w:color w:val="auto"/>
        </w:rPr>
      </w:pPr>
      <w:r>
        <w:rPr>
          <w:rFonts w:ascii="Arial" w:cs="Arial" w:eastAsia="Arial" w:hAnsi="Arial"/>
          <w:sz w:val="20"/>
          <w:szCs w:val="20"/>
          <w:b w:val="1"/>
          <w:bCs w:val="1"/>
          <w:color w:val="1D3060"/>
        </w:rPr>
        <w:t>Pushkal P. Garg, M.D.</w:t>
      </w:r>
      <w:r>
        <w:rPr>
          <w:rFonts w:ascii="Arial" w:cs="Arial" w:eastAsia="Arial" w:hAnsi="Arial"/>
          <w:sz w:val="20"/>
          <w:szCs w:val="20"/>
          <w:color w:val="000000"/>
        </w:rPr>
        <w:t>, 56, has served as our Chief Medical Officer, Executive Vice President, Development and</w:t>
      </w:r>
      <w:r>
        <w:rPr>
          <w:rFonts w:ascii="Arial" w:cs="Arial" w:eastAsia="Arial" w:hAnsi="Arial"/>
          <w:sz w:val="20"/>
          <w:szCs w:val="20"/>
          <w:b w:val="1"/>
          <w:bCs w:val="1"/>
          <w:color w:val="1D3060"/>
        </w:rPr>
        <w:t xml:space="preserve"> </w:t>
      </w:r>
      <w:r>
        <w:rPr>
          <w:rFonts w:ascii="Arial" w:cs="Arial" w:eastAsia="Arial" w:hAnsi="Arial"/>
          <w:sz w:val="20"/>
          <w:szCs w:val="20"/>
          <w:color w:val="000000"/>
        </w:rPr>
        <w:t>Medical Affairs since January 2022. Dr. Garg joined Alnylam in 2014 as Senior Vice President, Clinical Development, was appointed Chief Medical Officer in January 2017, and named Executive Vice President in March 2019. Prior to joining Alnylam in 2014, Dr. Garg served as Vice President, Global Clinical Research, Immunoscience at Bristol-Myers Squibb where he was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20"/>
        <w:spacing w:after="0" w:line="248" w:lineRule="auto"/>
        <w:rPr>
          <w:sz w:val="20"/>
          <w:szCs w:val="20"/>
          <w:color w:val="auto"/>
        </w:rPr>
      </w:pPr>
      <w:r>
        <w:rPr>
          <w:rFonts w:ascii="Arial" w:cs="Arial" w:eastAsia="Arial" w:hAnsi="Arial"/>
          <w:sz w:val="19"/>
          <w:szCs w:val="19"/>
          <w:color w:val="auto"/>
        </w:rPr>
        <w:t>strategic leader of the Immunoscience franchise, and oversaw the development of multiple clinical assets across the areas of rheumatology, gastroenterology, nephrology, and transplantation. Preceding this, Dr. Garg held various roles at Millennium Pharmaceuticals, overseeing the clinical development of multiple small molecule and biologic therapeutics for the treatment of inflammatory disorders. Before joining the biopharmaceutical industry, he was on the faculty at Harvard Medical School and the Brigham and Women’s Hospital in Boston. Dr. Garg previously served as a director of SQZ Biotechnologies.</w:t>
      </w:r>
    </w:p>
    <w:p>
      <w:pPr>
        <w:spacing w:after="0" w:line="165" w:lineRule="exact"/>
        <w:rPr>
          <w:sz w:val="20"/>
          <w:szCs w:val="20"/>
          <w:color w:val="auto"/>
        </w:rPr>
      </w:pPr>
    </w:p>
    <w:p>
      <w:pPr>
        <w:ind w:left="120" w:right="640" w:firstLine="771"/>
        <w:spacing w:after="0" w:line="248" w:lineRule="auto"/>
        <w:rPr>
          <w:sz w:val="20"/>
          <w:szCs w:val="20"/>
          <w:color w:val="auto"/>
        </w:rPr>
      </w:pPr>
      <w:r>
        <w:rPr>
          <w:rFonts w:ascii="Arial" w:cs="Arial" w:eastAsia="Arial" w:hAnsi="Arial"/>
          <w:sz w:val="19"/>
          <w:szCs w:val="19"/>
          <w:b w:val="1"/>
          <w:bCs w:val="1"/>
          <w:color w:val="1D3060"/>
        </w:rPr>
        <w:t>Tolga Tanguler</w:t>
      </w:r>
      <w:r>
        <w:rPr>
          <w:rFonts w:ascii="Arial" w:cs="Arial" w:eastAsia="Arial" w:hAnsi="Arial"/>
          <w:sz w:val="19"/>
          <w:szCs w:val="19"/>
          <w:color w:val="000000"/>
        </w:rPr>
        <w:t>, 51, has served as our Chief Commercial Officer since January 2021. Prior to joining Alnylam,</w:t>
      </w:r>
      <w:r>
        <w:rPr>
          <w:rFonts w:ascii="Arial" w:cs="Arial" w:eastAsia="Arial" w:hAnsi="Arial"/>
          <w:sz w:val="19"/>
          <w:szCs w:val="19"/>
          <w:b w:val="1"/>
          <w:bCs w:val="1"/>
          <w:color w:val="1D3060"/>
        </w:rPr>
        <w:t xml:space="preserve"> </w:t>
      </w:r>
      <w:r>
        <w:rPr>
          <w:rFonts w:ascii="Arial" w:cs="Arial" w:eastAsia="Arial" w:hAnsi="Arial"/>
          <w:sz w:val="19"/>
          <w:szCs w:val="19"/>
          <w:color w:val="000000"/>
        </w:rPr>
        <w:t>Mr. Tanguler served as Senior Vice President and Head of Alexion U.S. from November 2018 to December 2020.</w:t>
      </w:r>
    </w:p>
    <w:p>
      <w:pPr>
        <w:ind w:left="120" w:right="160"/>
        <w:spacing w:after="0" w:line="239" w:lineRule="auto"/>
        <w:rPr>
          <w:sz w:val="20"/>
          <w:szCs w:val="20"/>
          <w:color w:val="auto"/>
        </w:rPr>
      </w:pPr>
      <w:r>
        <w:rPr>
          <w:rFonts w:ascii="Arial" w:cs="Arial" w:eastAsia="Arial" w:hAnsi="Arial"/>
          <w:sz w:val="20"/>
          <w:szCs w:val="20"/>
          <w:color w:val="auto"/>
        </w:rPr>
        <w:t>Mr. Tanguler spent the majority of his career at Pfizer serving in roles of increasing responsibility, most recently as President, North America for Rare Diseases and prior to that as Global Vice President and Alliance Co-Head, Eliquis.</w:t>
      </w:r>
    </w:p>
    <w:p>
      <w:pPr>
        <w:spacing w:after="0" w:line="170" w:lineRule="exact"/>
        <w:rPr>
          <w:sz w:val="20"/>
          <w:szCs w:val="20"/>
          <w:color w:val="auto"/>
        </w:rPr>
      </w:pPr>
    </w:p>
    <w:p>
      <w:pPr>
        <w:ind w:left="120" w:right="80" w:firstLine="771"/>
        <w:spacing w:after="0" w:line="231" w:lineRule="auto"/>
        <w:rPr>
          <w:sz w:val="20"/>
          <w:szCs w:val="20"/>
          <w:color w:val="auto"/>
        </w:rPr>
      </w:pPr>
      <w:r>
        <w:rPr>
          <w:rFonts w:ascii="Arial" w:cs="Arial" w:eastAsia="Arial" w:hAnsi="Arial"/>
          <w:sz w:val="20"/>
          <w:szCs w:val="20"/>
          <w:b w:val="1"/>
          <w:bCs w:val="1"/>
          <w:color w:val="1D3060"/>
        </w:rPr>
        <w:t>Kevin J. Fitzgerald, Ph.D.</w:t>
      </w:r>
      <w:r>
        <w:rPr>
          <w:rFonts w:ascii="Arial" w:cs="Arial" w:eastAsia="Arial" w:hAnsi="Arial"/>
          <w:sz w:val="20"/>
          <w:szCs w:val="20"/>
          <w:color w:val="000000"/>
        </w:rPr>
        <w:t>, 56, has served as our Executive Vice President, Chief Scientific Officer and Head of</w:t>
      </w:r>
      <w:r>
        <w:rPr>
          <w:rFonts w:ascii="Arial" w:cs="Arial" w:eastAsia="Arial" w:hAnsi="Arial"/>
          <w:sz w:val="20"/>
          <w:szCs w:val="20"/>
          <w:b w:val="1"/>
          <w:bCs w:val="1"/>
          <w:color w:val="1D3060"/>
        </w:rPr>
        <w:t xml:space="preserve"> </w:t>
      </w:r>
      <w:r>
        <w:rPr>
          <w:rFonts w:ascii="Arial" w:cs="Arial" w:eastAsia="Arial" w:hAnsi="Arial"/>
          <w:sz w:val="20"/>
          <w:szCs w:val="20"/>
          <w:color w:val="000000"/>
        </w:rPr>
        <w:t>Early Research and Early Development since August 2023. Dr. Fitzgerald joined Alnylam in 2005 as Associate Director of Research and has served in roles of increasing responsibility and leadership since that time, serving most recently as Chief Scientific Officer of Alnylam since May of 2019. Prior to Alnylam, Dr. Fitzgerald worked for seven years at Bristol-Myers Squibb, a global biopharmaceuticals company. Dr. Fitzgerald has 25 years of drug discovery experience, including leadership of our RNAi delivery efforts and the development of our RNAi therapeutic novel class of medicines. He is an inventor on over 50 patents, including the majority of our marketed and pipeline programs, and has authored over 50 papers. Dr. Fitzgerald also serves as a director of Ovid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13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8970" cy="56134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EXECUTIVE COMPENSATION</w:t>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COMPENSATION DISCUSSION AND ANALYSIS</w:t>
      </w:r>
    </w:p>
    <w:p>
      <w:pPr>
        <w:spacing w:after="0" w:line="204" w:lineRule="exact"/>
        <w:rPr>
          <w:sz w:val="20"/>
          <w:szCs w:val="20"/>
          <w:color w:val="auto"/>
        </w:rPr>
      </w:pPr>
    </w:p>
    <w:p>
      <w:pPr>
        <w:ind w:left="120" w:right="20" w:firstLine="771"/>
        <w:spacing w:after="0" w:line="232" w:lineRule="auto"/>
        <w:rPr>
          <w:sz w:val="20"/>
          <w:szCs w:val="20"/>
          <w:color w:val="auto"/>
        </w:rPr>
      </w:pPr>
      <w:r>
        <w:rPr>
          <w:rFonts w:ascii="Arial" w:cs="Arial" w:eastAsia="Arial" w:hAnsi="Arial"/>
          <w:sz w:val="20"/>
          <w:szCs w:val="20"/>
          <w:color w:val="auto"/>
        </w:rPr>
        <w:t>Our People, Culture and Compensation, or PC&amp;C, committee is responsible for overseeing the compensation of our executive leadership team, which includes our NEOs and certain of our other senior leaders. The PC&amp;C committee reviews and approves the compensation of our executive officers, other than our CEO, and reviews and recommends the compensation of our CEO to our board for approval. This Compensation Discussion and Analysis, or CD&amp;A, describes our executive compensation philosophy, the design of our executive compensation programs, the process used to examine each NEO’s performance in the context of compensation decisions, and the compensation decisions made by the PC&amp;C committee and the board for each of our NEOs.</w:t>
      </w:r>
    </w:p>
    <w:p>
      <w:pPr>
        <w:spacing w:after="0" w:line="172" w:lineRule="exact"/>
        <w:rPr>
          <w:sz w:val="20"/>
          <w:szCs w:val="20"/>
          <w:color w:val="auto"/>
        </w:rPr>
      </w:pPr>
    </w:p>
    <w:p>
      <w:pPr>
        <w:jc w:val="both"/>
        <w:ind w:left="120" w:right="200" w:firstLine="771"/>
        <w:spacing w:after="0" w:line="241" w:lineRule="auto"/>
        <w:rPr>
          <w:sz w:val="20"/>
          <w:szCs w:val="20"/>
          <w:color w:val="auto"/>
        </w:rPr>
      </w:pPr>
      <w:r>
        <w:rPr>
          <w:rFonts w:ascii="Arial" w:cs="Arial" w:eastAsia="Arial" w:hAnsi="Arial"/>
          <w:sz w:val="20"/>
          <w:szCs w:val="20"/>
          <w:color w:val="auto"/>
        </w:rPr>
        <w:t>Our NEOs for 2023 consist of our Chief Executive Officer, our Executive Vice President, Chief Financial Officer, our three other most highly compensated executive officers based on fiscal 2023 compensation, and, as required by SEC rules, our former President.</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4420" w:type="dxa"/>
            <w:vAlign w:val="bottom"/>
            <w:shd w:val="clear" w:color="auto" w:fill="1D3060"/>
          </w:tcPr>
          <w:p>
            <w:pPr>
              <w:spacing w:after="0"/>
              <w:rPr>
                <w:sz w:val="20"/>
                <w:szCs w:val="20"/>
                <w:color w:val="auto"/>
              </w:rPr>
            </w:pPr>
            <w:r>
              <w:rPr>
                <w:rFonts w:ascii="Arial" w:cs="Arial" w:eastAsia="Arial" w:hAnsi="Arial"/>
                <w:sz w:val="18"/>
                <w:szCs w:val="18"/>
                <w:b w:val="1"/>
                <w:bCs w:val="1"/>
                <w:color w:val="FFFFFF"/>
              </w:rPr>
              <w:t> Name</w:t>
            </w:r>
          </w:p>
        </w:tc>
        <w:tc>
          <w:tcPr>
            <w:tcW w:w="6600" w:type="dxa"/>
            <w:vAlign w:val="bottom"/>
            <w:shd w:val="clear" w:color="auto" w:fill="1D3060"/>
          </w:tcPr>
          <w:p>
            <w:pPr>
              <w:ind w:left="1200"/>
              <w:spacing w:after="0"/>
              <w:rPr>
                <w:sz w:val="20"/>
                <w:szCs w:val="20"/>
                <w:color w:val="auto"/>
              </w:rPr>
            </w:pPr>
            <w:r>
              <w:rPr>
                <w:rFonts w:ascii="Arial" w:cs="Arial" w:eastAsia="Arial" w:hAnsi="Arial"/>
                <w:sz w:val="18"/>
                <w:szCs w:val="18"/>
                <w:b w:val="1"/>
                <w:bCs w:val="1"/>
                <w:color w:val="FFFFFF"/>
              </w:rPr>
              <w:t>Title</w:t>
            </w:r>
          </w:p>
        </w:tc>
      </w:tr>
      <w:tr>
        <w:trPr>
          <w:trHeight w:val="268"/>
        </w:trPr>
        <w:tc>
          <w:tcPr>
            <w:tcW w:w="4420" w:type="dxa"/>
            <w:vAlign w:val="bottom"/>
            <w:shd w:val="clear" w:color="auto" w:fill="D7E8F5"/>
          </w:tcPr>
          <w:p>
            <w:pPr>
              <w:spacing w:after="0"/>
              <w:rPr>
                <w:sz w:val="20"/>
                <w:szCs w:val="20"/>
                <w:color w:val="auto"/>
              </w:rPr>
            </w:pPr>
            <w:r>
              <w:rPr>
                <w:rFonts w:ascii="Arial" w:cs="Arial" w:eastAsia="Arial" w:hAnsi="Arial"/>
                <w:sz w:val="18"/>
                <w:szCs w:val="18"/>
                <w:b w:val="1"/>
                <w:bCs w:val="1"/>
                <w:color w:val="auto"/>
              </w:rPr>
              <w:t> Yvonne L. Greenstreet, MBChB, MBA</w:t>
            </w:r>
          </w:p>
        </w:tc>
        <w:tc>
          <w:tcPr>
            <w:tcW w:w="6600" w:type="dxa"/>
            <w:vAlign w:val="bottom"/>
            <w:shd w:val="clear" w:color="auto" w:fill="D7E8F5"/>
          </w:tcPr>
          <w:p>
            <w:pPr>
              <w:ind w:left="1200"/>
              <w:spacing w:after="0"/>
              <w:rPr>
                <w:sz w:val="20"/>
                <w:szCs w:val="20"/>
                <w:color w:val="auto"/>
              </w:rPr>
            </w:pPr>
            <w:r>
              <w:rPr>
                <w:rFonts w:ascii="Arial" w:cs="Arial" w:eastAsia="Arial" w:hAnsi="Arial"/>
                <w:sz w:val="18"/>
                <w:szCs w:val="18"/>
                <w:color w:val="auto"/>
              </w:rPr>
              <w:t>Chief Executive Officer</w:t>
            </w:r>
          </w:p>
        </w:tc>
      </w:tr>
      <w:tr>
        <w:trPr>
          <w:trHeight w:val="110"/>
        </w:trPr>
        <w:tc>
          <w:tcPr>
            <w:tcW w:w="4420" w:type="dxa"/>
            <w:vAlign w:val="bottom"/>
            <w:shd w:val="clear" w:color="auto" w:fill="D7E8F5"/>
          </w:tcPr>
          <w:p>
            <w:pPr>
              <w:spacing w:after="0"/>
              <w:rPr>
                <w:sz w:val="9"/>
                <w:szCs w:val="9"/>
                <w:color w:val="auto"/>
              </w:rPr>
            </w:pPr>
          </w:p>
        </w:tc>
        <w:tc>
          <w:tcPr>
            <w:tcW w:w="6600" w:type="dxa"/>
            <w:vAlign w:val="bottom"/>
            <w:shd w:val="clear" w:color="auto" w:fill="D7E8F5"/>
          </w:tcPr>
          <w:p>
            <w:pPr>
              <w:spacing w:after="0"/>
              <w:rPr>
                <w:sz w:val="9"/>
                <w:szCs w:val="9"/>
                <w:color w:val="auto"/>
              </w:rPr>
            </w:pPr>
          </w:p>
        </w:tc>
      </w:tr>
      <w:tr>
        <w:trPr>
          <w:trHeight w:val="268"/>
        </w:trPr>
        <w:tc>
          <w:tcPr>
            <w:tcW w:w="4420" w:type="dxa"/>
            <w:vAlign w:val="bottom"/>
          </w:tcPr>
          <w:p>
            <w:pPr>
              <w:spacing w:after="0"/>
              <w:rPr>
                <w:sz w:val="20"/>
                <w:szCs w:val="20"/>
                <w:color w:val="auto"/>
              </w:rPr>
            </w:pPr>
            <w:r>
              <w:rPr>
                <w:rFonts w:ascii="Arial" w:cs="Arial" w:eastAsia="Arial" w:hAnsi="Arial"/>
                <w:sz w:val="18"/>
                <w:szCs w:val="18"/>
                <w:b w:val="1"/>
                <w:bCs w:val="1"/>
                <w:color w:val="auto"/>
              </w:rPr>
              <w:t> Jeffrey V. Poulton</w:t>
            </w:r>
          </w:p>
        </w:tc>
        <w:tc>
          <w:tcPr>
            <w:tcW w:w="6600" w:type="dxa"/>
            <w:vAlign w:val="bottom"/>
          </w:tcPr>
          <w:p>
            <w:pPr>
              <w:ind w:left="1200"/>
              <w:spacing w:after="0"/>
              <w:rPr>
                <w:sz w:val="20"/>
                <w:szCs w:val="20"/>
                <w:color w:val="auto"/>
              </w:rPr>
            </w:pPr>
            <w:r>
              <w:rPr>
                <w:rFonts w:ascii="Arial" w:cs="Arial" w:eastAsia="Arial" w:hAnsi="Arial"/>
                <w:sz w:val="18"/>
                <w:szCs w:val="18"/>
                <w:color w:val="auto"/>
              </w:rPr>
              <w:t>Executive Vice President, Chief Financial Officer</w:t>
            </w:r>
          </w:p>
        </w:tc>
      </w:tr>
      <w:tr>
        <w:trPr>
          <w:trHeight w:val="150"/>
        </w:trPr>
        <w:tc>
          <w:tcPr>
            <w:tcW w:w="4420" w:type="dxa"/>
            <w:vAlign w:val="bottom"/>
          </w:tcPr>
          <w:p>
            <w:pPr>
              <w:spacing w:after="0"/>
              <w:rPr>
                <w:sz w:val="13"/>
                <w:szCs w:val="13"/>
                <w:color w:val="auto"/>
              </w:rPr>
            </w:pPr>
          </w:p>
        </w:tc>
        <w:tc>
          <w:tcPr>
            <w:tcW w:w="6600" w:type="dxa"/>
            <w:vAlign w:val="bottom"/>
          </w:tcPr>
          <w:p>
            <w:pPr>
              <w:spacing w:after="0"/>
              <w:rPr>
                <w:sz w:val="13"/>
                <w:szCs w:val="13"/>
                <w:color w:val="auto"/>
              </w:rPr>
            </w:pPr>
          </w:p>
        </w:tc>
      </w:tr>
      <w:tr>
        <w:trPr>
          <w:trHeight w:val="224"/>
        </w:trPr>
        <w:tc>
          <w:tcPr>
            <w:tcW w:w="4420" w:type="dxa"/>
            <w:vAlign w:val="bottom"/>
            <w:shd w:val="clear" w:color="auto" w:fill="D7E8F5"/>
          </w:tcPr>
          <w:p>
            <w:pPr>
              <w:spacing w:after="0"/>
              <w:rPr>
                <w:sz w:val="20"/>
                <w:szCs w:val="20"/>
                <w:color w:val="auto"/>
              </w:rPr>
            </w:pPr>
            <w:r>
              <w:rPr>
                <w:rFonts w:ascii="Arial" w:cs="Arial" w:eastAsia="Arial" w:hAnsi="Arial"/>
                <w:sz w:val="18"/>
                <w:szCs w:val="18"/>
                <w:b w:val="1"/>
                <w:bCs w:val="1"/>
                <w:color w:val="auto"/>
              </w:rPr>
              <w:t> Pushkal Garg, M.D.</w:t>
            </w:r>
          </w:p>
        </w:tc>
        <w:tc>
          <w:tcPr>
            <w:tcW w:w="6600" w:type="dxa"/>
            <w:vAlign w:val="bottom"/>
            <w:shd w:val="clear" w:color="auto" w:fill="D7E8F5"/>
          </w:tcPr>
          <w:p>
            <w:pPr>
              <w:ind w:left="1200"/>
              <w:spacing w:after="0"/>
              <w:rPr>
                <w:sz w:val="20"/>
                <w:szCs w:val="20"/>
                <w:color w:val="auto"/>
              </w:rPr>
            </w:pPr>
            <w:r>
              <w:rPr>
                <w:rFonts w:ascii="Arial" w:cs="Arial" w:eastAsia="Arial" w:hAnsi="Arial"/>
                <w:sz w:val="18"/>
                <w:szCs w:val="18"/>
                <w:color w:val="auto"/>
              </w:rPr>
              <w:t>Chief Medical Officer, Executive Vice President, Development &amp;</w:t>
            </w:r>
          </w:p>
        </w:tc>
      </w:tr>
      <w:tr>
        <w:trPr>
          <w:trHeight w:val="239"/>
        </w:trPr>
        <w:tc>
          <w:tcPr>
            <w:tcW w:w="4420" w:type="dxa"/>
            <w:vAlign w:val="bottom"/>
            <w:shd w:val="clear" w:color="auto" w:fill="D7E8F5"/>
          </w:tcPr>
          <w:p>
            <w:pPr>
              <w:spacing w:after="0"/>
              <w:rPr>
                <w:sz w:val="20"/>
                <w:szCs w:val="20"/>
                <w:color w:val="auto"/>
              </w:rPr>
            </w:pPr>
          </w:p>
        </w:tc>
        <w:tc>
          <w:tcPr>
            <w:tcW w:w="6600" w:type="dxa"/>
            <w:vAlign w:val="bottom"/>
            <w:shd w:val="clear" w:color="auto" w:fill="D7E8F5"/>
          </w:tcPr>
          <w:p>
            <w:pPr>
              <w:ind w:left="1380"/>
              <w:spacing w:after="0"/>
              <w:rPr>
                <w:sz w:val="20"/>
                <w:szCs w:val="20"/>
                <w:color w:val="auto"/>
              </w:rPr>
            </w:pPr>
            <w:r>
              <w:rPr>
                <w:rFonts w:ascii="Arial" w:cs="Arial" w:eastAsia="Arial" w:hAnsi="Arial"/>
                <w:sz w:val="18"/>
                <w:szCs w:val="18"/>
                <w:color w:val="auto"/>
              </w:rPr>
              <w:t>Medical Affairs</w:t>
            </w:r>
          </w:p>
        </w:tc>
      </w:tr>
      <w:tr>
        <w:trPr>
          <w:trHeight w:val="158"/>
        </w:trPr>
        <w:tc>
          <w:tcPr>
            <w:tcW w:w="4420" w:type="dxa"/>
            <w:vAlign w:val="bottom"/>
            <w:shd w:val="clear" w:color="auto" w:fill="D7E8F5"/>
          </w:tcPr>
          <w:p>
            <w:pPr>
              <w:spacing w:after="0"/>
              <w:rPr>
                <w:sz w:val="13"/>
                <w:szCs w:val="13"/>
                <w:color w:val="auto"/>
              </w:rPr>
            </w:pPr>
          </w:p>
        </w:tc>
        <w:tc>
          <w:tcPr>
            <w:tcW w:w="6600" w:type="dxa"/>
            <w:vAlign w:val="bottom"/>
            <w:shd w:val="clear" w:color="auto" w:fill="D7E8F5"/>
          </w:tcPr>
          <w:p>
            <w:pPr>
              <w:spacing w:after="0"/>
              <w:rPr>
                <w:sz w:val="13"/>
                <w:szCs w:val="13"/>
                <w:color w:val="auto"/>
              </w:rPr>
            </w:pPr>
          </w:p>
        </w:tc>
      </w:tr>
      <w:tr>
        <w:trPr>
          <w:trHeight w:val="268"/>
        </w:trPr>
        <w:tc>
          <w:tcPr>
            <w:tcW w:w="4420" w:type="dxa"/>
            <w:vAlign w:val="bottom"/>
          </w:tcPr>
          <w:p>
            <w:pPr>
              <w:spacing w:after="0"/>
              <w:rPr>
                <w:sz w:val="20"/>
                <w:szCs w:val="20"/>
                <w:color w:val="auto"/>
              </w:rPr>
            </w:pPr>
            <w:r>
              <w:rPr>
                <w:rFonts w:ascii="Arial" w:cs="Arial" w:eastAsia="Arial" w:hAnsi="Arial"/>
                <w:sz w:val="18"/>
                <w:szCs w:val="18"/>
                <w:b w:val="1"/>
                <w:bCs w:val="1"/>
                <w:color w:val="auto"/>
              </w:rPr>
              <w:t> Tolga Tanguler</w:t>
            </w:r>
          </w:p>
        </w:tc>
        <w:tc>
          <w:tcPr>
            <w:tcW w:w="6600" w:type="dxa"/>
            <w:vAlign w:val="bottom"/>
          </w:tcPr>
          <w:p>
            <w:pPr>
              <w:ind w:left="1200"/>
              <w:spacing w:after="0"/>
              <w:rPr>
                <w:sz w:val="20"/>
                <w:szCs w:val="20"/>
                <w:color w:val="auto"/>
              </w:rPr>
            </w:pPr>
            <w:r>
              <w:rPr>
                <w:rFonts w:ascii="Arial" w:cs="Arial" w:eastAsia="Arial" w:hAnsi="Arial"/>
                <w:sz w:val="18"/>
                <w:szCs w:val="18"/>
                <w:color w:val="auto"/>
              </w:rPr>
              <w:t>Executive Vice President, Chief Commercial Officer</w:t>
            </w:r>
          </w:p>
        </w:tc>
      </w:tr>
      <w:tr>
        <w:trPr>
          <w:trHeight w:val="150"/>
        </w:trPr>
        <w:tc>
          <w:tcPr>
            <w:tcW w:w="4420" w:type="dxa"/>
            <w:vAlign w:val="bottom"/>
          </w:tcPr>
          <w:p>
            <w:pPr>
              <w:spacing w:after="0"/>
              <w:rPr>
                <w:sz w:val="13"/>
                <w:szCs w:val="13"/>
                <w:color w:val="auto"/>
              </w:rPr>
            </w:pPr>
          </w:p>
        </w:tc>
        <w:tc>
          <w:tcPr>
            <w:tcW w:w="6600" w:type="dxa"/>
            <w:vAlign w:val="bottom"/>
          </w:tcPr>
          <w:p>
            <w:pPr>
              <w:spacing w:after="0"/>
              <w:rPr>
                <w:sz w:val="13"/>
                <w:szCs w:val="13"/>
                <w:color w:val="auto"/>
              </w:rPr>
            </w:pPr>
          </w:p>
        </w:tc>
      </w:tr>
      <w:tr>
        <w:trPr>
          <w:trHeight w:val="268"/>
        </w:trPr>
        <w:tc>
          <w:tcPr>
            <w:tcW w:w="4420" w:type="dxa"/>
            <w:vAlign w:val="bottom"/>
            <w:shd w:val="clear" w:color="auto" w:fill="D7E8F5"/>
          </w:tcPr>
          <w:p>
            <w:pPr>
              <w:spacing w:after="0"/>
              <w:rPr>
                <w:sz w:val="20"/>
                <w:szCs w:val="20"/>
                <w:color w:val="auto"/>
              </w:rPr>
            </w:pPr>
            <w:r>
              <w:rPr>
                <w:rFonts w:ascii="Arial" w:cs="Arial" w:eastAsia="Arial" w:hAnsi="Arial"/>
                <w:sz w:val="18"/>
                <w:szCs w:val="18"/>
                <w:b w:val="1"/>
                <w:bCs w:val="1"/>
                <w:color w:val="auto"/>
              </w:rPr>
              <w:t> Indrani L. Franchini, J.D.(1)</w:t>
            </w:r>
          </w:p>
        </w:tc>
        <w:tc>
          <w:tcPr>
            <w:tcW w:w="6600" w:type="dxa"/>
            <w:vAlign w:val="bottom"/>
            <w:shd w:val="clear" w:color="auto" w:fill="D7E8F5"/>
          </w:tcPr>
          <w:p>
            <w:pPr>
              <w:ind w:left="1200"/>
              <w:spacing w:after="0"/>
              <w:rPr>
                <w:sz w:val="20"/>
                <w:szCs w:val="20"/>
                <w:color w:val="auto"/>
              </w:rPr>
            </w:pPr>
            <w:r>
              <w:rPr>
                <w:rFonts w:ascii="Arial" w:cs="Arial" w:eastAsia="Arial" w:hAnsi="Arial"/>
                <w:sz w:val="18"/>
                <w:szCs w:val="18"/>
                <w:color w:val="auto"/>
              </w:rPr>
              <w:t>Executive Vice President, Chief Legal Officer and Secretary</w:t>
            </w:r>
          </w:p>
        </w:tc>
      </w:tr>
      <w:tr>
        <w:trPr>
          <w:trHeight w:val="110"/>
        </w:trPr>
        <w:tc>
          <w:tcPr>
            <w:tcW w:w="4420" w:type="dxa"/>
            <w:vAlign w:val="bottom"/>
            <w:shd w:val="clear" w:color="auto" w:fill="D7E8F5"/>
          </w:tcPr>
          <w:p>
            <w:pPr>
              <w:spacing w:after="0"/>
              <w:rPr>
                <w:sz w:val="9"/>
                <w:szCs w:val="9"/>
                <w:color w:val="auto"/>
              </w:rPr>
            </w:pPr>
          </w:p>
        </w:tc>
        <w:tc>
          <w:tcPr>
            <w:tcW w:w="6600" w:type="dxa"/>
            <w:vAlign w:val="bottom"/>
            <w:shd w:val="clear" w:color="auto" w:fill="D7E8F5"/>
          </w:tcPr>
          <w:p>
            <w:pPr>
              <w:spacing w:after="0"/>
              <w:rPr>
                <w:sz w:val="9"/>
                <w:szCs w:val="9"/>
                <w:color w:val="auto"/>
              </w:rPr>
            </w:pPr>
          </w:p>
        </w:tc>
      </w:tr>
      <w:tr>
        <w:trPr>
          <w:trHeight w:val="268"/>
        </w:trPr>
        <w:tc>
          <w:tcPr>
            <w:tcW w:w="4420" w:type="dxa"/>
            <w:vAlign w:val="bottom"/>
          </w:tcPr>
          <w:p>
            <w:pPr>
              <w:spacing w:after="0"/>
              <w:rPr>
                <w:sz w:val="20"/>
                <w:szCs w:val="20"/>
                <w:color w:val="auto"/>
              </w:rPr>
            </w:pPr>
            <w:r>
              <w:rPr>
                <w:rFonts w:ascii="Arial" w:cs="Arial" w:eastAsia="Arial" w:hAnsi="Arial"/>
                <w:sz w:val="18"/>
                <w:szCs w:val="18"/>
                <w:b w:val="1"/>
                <w:bCs w:val="1"/>
                <w:color w:val="auto"/>
              </w:rPr>
              <w:t> Akshay K. Vaishnaw, M.D., Ph.D.(2)</w:t>
            </w:r>
          </w:p>
        </w:tc>
        <w:tc>
          <w:tcPr>
            <w:tcW w:w="6600" w:type="dxa"/>
            <w:vAlign w:val="bottom"/>
          </w:tcPr>
          <w:p>
            <w:pPr>
              <w:ind w:left="1200"/>
              <w:spacing w:after="0"/>
              <w:rPr>
                <w:sz w:val="20"/>
                <w:szCs w:val="20"/>
                <w:color w:val="auto"/>
              </w:rPr>
            </w:pPr>
            <w:r>
              <w:rPr>
                <w:rFonts w:ascii="Arial" w:cs="Arial" w:eastAsia="Arial" w:hAnsi="Arial"/>
                <w:sz w:val="18"/>
                <w:szCs w:val="18"/>
                <w:color w:val="auto"/>
              </w:rPr>
              <w:t>Former President</w:t>
            </w:r>
          </w:p>
        </w:tc>
      </w:tr>
      <w:tr>
        <w:trPr>
          <w:trHeight w:val="150"/>
        </w:trPr>
        <w:tc>
          <w:tcPr>
            <w:tcW w:w="4420" w:type="dxa"/>
            <w:vAlign w:val="bottom"/>
            <w:tcBorders>
              <w:bottom w:val="single" w:sz="8" w:color="1D3060"/>
            </w:tcBorders>
          </w:tcPr>
          <w:p>
            <w:pPr>
              <w:spacing w:after="0"/>
              <w:rPr>
                <w:sz w:val="13"/>
                <w:szCs w:val="13"/>
                <w:color w:val="auto"/>
              </w:rPr>
            </w:pPr>
          </w:p>
        </w:tc>
        <w:tc>
          <w:tcPr>
            <w:tcW w:w="6600" w:type="dxa"/>
            <w:vAlign w:val="bottom"/>
            <w:tcBorders>
              <w:bottom w:val="single" w:sz="8" w:color="1D3060"/>
            </w:tcBorders>
          </w:tcPr>
          <w:p>
            <w:pPr>
              <w:spacing w:after="0"/>
              <w:rPr>
                <w:sz w:val="13"/>
                <w:szCs w:val="13"/>
                <w:color w:val="auto"/>
              </w:rPr>
            </w:pPr>
          </w:p>
        </w:tc>
      </w:tr>
    </w:tbl>
    <w:p>
      <w:pPr>
        <w:spacing w:after="0" w:line="229" w:lineRule="exact"/>
        <w:rPr>
          <w:sz w:val="20"/>
          <w:szCs w:val="20"/>
          <w:color w:val="auto"/>
        </w:rPr>
      </w:pPr>
    </w:p>
    <w:p>
      <w:pPr>
        <w:ind w:left="760" w:hanging="644"/>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Ms. Franchini’s employment with us terminated effective March 1, 2024.</w:t>
      </w:r>
    </w:p>
    <w:p>
      <w:pPr>
        <w:spacing w:after="0" w:line="248" w:lineRule="exact"/>
        <w:rPr>
          <w:rFonts w:ascii="Arial" w:cs="Arial" w:eastAsia="Arial" w:hAnsi="Arial"/>
          <w:sz w:val="16"/>
          <w:szCs w:val="16"/>
          <w:color w:val="auto"/>
        </w:rPr>
      </w:pPr>
    </w:p>
    <w:p>
      <w:pPr>
        <w:ind w:left="760" w:right="80" w:hanging="644"/>
        <w:spacing w:after="0" w:line="286"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Dr. Vaishnaw ceased serving as an executive officer effective October 2, 2023 when he transitioned from the role of President to a part-time role as Chief Innovation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0"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FFFFFF"/>
        </w:rPr>
        <w:t>Executive Summary – Why You Should Vote FOR The 2024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4972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497205"/>
                    </a:xfrm>
                    <a:prstGeom prst="rect">
                      <a:avLst/>
                    </a:prstGeom>
                    <a:noFill/>
                  </pic:spPr>
                </pic:pic>
              </a:graphicData>
            </a:graphic>
          </wp:anchor>
        </w:drawing>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Our Executive Compensation Philosophy Drives Compensation Structure Design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key principles of our Executive Compensation Philosophy are:</w:t>
      </w:r>
    </w:p>
    <w:p>
      <w:pPr>
        <w:spacing w:after="0" w:line="191" w:lineRule="exact"/>
        <w:rPr>
          <w:sz w:val="20"/>
          <w:szCs w:val="20"/>
          <w:color w:val="auto"/>
        </w:rPr>
      </w:pPr>
    </w:p>
    <w:p>
      <w:pPr>
        <w:ind w:left="480" w:right="4520"/>
        <w:spacing w:after="0" w:line="497" w:lineRule="auto"/>
        <w:rPr>
          <w:sz w:val="20"/>
          <w:szCs w:val="20"/>
          <w:color w:val="auto"/>
        </w:rPr>
      </w:pPr>
      <w:r>
        <w:rPr>
          <w:rFonts w:ascii="Arial" w:cs="Arial" w:eastAsia="Arial" w:hAnsi="Arial"/>
          <w:sz w:val="17"/>
          <w:szCs w:val="17"/>
          <w:color w:val="auto"/>
        </w:rPr>
        <w:t>•    Align executive interests with the drivers of growth and stockholder returns •    Incentivize the execution of company strategy and primary business goals</w:t>
      </w:r>
    </w:p>
    <w:p>
      <w:pPr>
        <w:ind w:left="480" w:right="1560"/>
        <w:spacing w:after="0" w:line="468" w:lineRule="auto"/>
        <w:rPr>
          <w:sz w:val="20"/>
          <w:szCs w:val="20"/>
          <w:color w:val="auto"/>
        </w:rPr>
      </w:pPr>
      <w:r>
        <w:rPr>
          <w:rFonts w:ascii="Arial" w:cs="Arial" w:eastAsia="Arial" w:hAnsi="Arial"/>
          <w:sz w:val="18"/>
          <w:szCs w:val="18"/>
          <w:color w:val="auto"/>
        </w:rPr>
        <w:t>•    Attract and retain talented executives with diverse expertise, skills, and background with market competitive pay •    Drive growth of sustainable long-term stockholder value</w:t>
      </w:r>
    </w:p>
    <w:p>
      <w:pPr>
        <w:ind w:left="120" w:right="280"/>
        <w:spacing w:after="0" w:line="257" w:lineRule="auto"/>
        <w:rPr>
          <w:sz w:val="20"/>
          <w:szCs w:val="20"/>
          <w:color w:val="auto"/>
        </w:rPr>
      </w:pPr>
      <w:r>
        <w:rPr>
          <w:rFonts w:ascii="Arial" w:cs="Arial" w:eastAsia="Arial" w:hAnsi="Arial"/>
          <w:sz w:val="20"/>
          <w:szCs w:val="20"/>
          <w:color w:val="auto"/>
        </w:rPr>
        <w:t xml:space="preserve">Consequently, our program is designed to ensure that the </w:t>
      </w:r>
      <w:r>
        <w:rPr>
          <w:rFonts w:ascii="Arial" w:cs="Arial" w:eastAsia="Arial" w:hAnsi="Arial"/>
          <w:sz w:val="20"/>
          <w:szCs w:val="20"/>
          <w:i w:val="1"/>
          <w:iCs w:val="1"/>
          <w:color w:val="auto"/>
        </w:rPr>
        <w:t>substantial majority of NEO compensation is performance-based</w:t>
      </w:r>
      <w:r>
        <w:rPr>
          <w:rFonts w:ascii="Arial" w:cs="Arial" w:eastAsia="Arial" w:hAnsi="Arial"/>
          <w:sz w:val="20"/>
          <w:szCs w:val="20"/>
          <w:color w:val="auto"/>
        </w:rPr>
        <w:t xml:space="preserve"> </w:t>
      </w:r>
      <w:r>
        <w:rPr>
          <w:rFonts w:ascii="Arial" w:cs="Arial" w:eastAsia="Arial" w:hAnsi="Arial"/>
          <w:sz w:val="20"/>
          <w:szCs w:val="20"/>
          <w:i w:val="1"/>
          <w:iCs w:val="1"/>
          <w:color w:val="auto"/>
        </w:rPr>
        <w:t>and at-risk</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2571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Our CEO Compensation Structure Reflects Our Pay-for-Performance Culture</w:t>
      </w:r>
    </w:p>
    <w:p>
      <w:pPr>
        <w:spacing w:after="0" w:line="195" w:lineRule="exact"/>
        <w:rPr>
          <w:sz w:val="20"/>
          <w:szCs w:val="20"/>
          <w:color w:val="auto"/>
        </w:rPr>
      </w:pPr>
    </w:p>
    <w:p>
      <w:pPr>
        <w:ind w:left="120" w:right="780"/>
        <w:spacing w:after="0" w:line="257" w:lineRule="auto"/>
        <w:rPr>
          <w:sz w:val="20"/>
          <w:szCs w:val="20"/>
          <w:color w:val="auto"/>
        </w:rPr>
      </w:pPr>
      <w:r>
        <w:rPr>
          <w:rFonts w:ascii="Arial" w:cs="Arial" w:eastAsia="Arial" w:hAnsi="Arial"/>
          <w:sz w:val="20"/>
          <w:szCs w:val="20"/>
          <w:color w:val="auto"/>
        </w:rPr>
        <w:t>The compensation structure for 2023 for Dr. Greenstreet, our CEO, reinforces our commitment to performance-based incentives, as follows:</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94% of Total Direct Compensation was variable and at-risk</w:t>
      </w:r>
    </w:p>
    <w:p>
      <w:pPr>
        <w:spacing w:after="0" w:line="198" w:lineRule="exact"/>
        <w:rPr>
          <w:sz w:val="20"/>
          <w:szCs w:val="20"/>
          <w:color w:val="auto"/>
        </w:rPr>
      </w:pPr>
    </w:p>
    <w:p>
      <w:pPr>
        <w:ind w:left="740" w:right="120" w:hanging="269"/>
        <w:spacing w:after="0" w:line="271" w:lineRule="auto"/>
        <w:rPr>
          <w:sz w:val="20"/>
          <w:szCs w:val="20"/>
          <w:color w:val="auto"/>
        </w:rPr>
      </w:pPr>
      <w:r>
        <w:rPr>
          <w:rFonts w:ascii="Arial" w:cs="Arial" w:eastAsia="Arial" w:hAnsi="Arial"/>
          <w:sz w:val="18"/>
          <w:szCs w:val="18"/>
          <w:color w:val="auto"/>
        </w:rPr>
        <w:t>•    75% of annual equity awards were performance-based and tied to the achievement of specific long-term goals and/or the creation of stockholder value</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100% of annual incentives were performance-based and contingent on corporate performance against preset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2482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248285"/>
                    </a:xfrm>
                    <a:prstGeom prst="rect">
                      <a:avLst/>
                    </a:prstGeom>
                    <a:noFill/>
                  </pic:spPr>
                </pic:pic>
              </a:graphicData>
            </a:graphic>
          </wp:anchor>
        </w:drawing>
      </w:r>
    </w:p>
    <w:p>
      <w:pPr>
        <w:spacing w:after="0" w:line="24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Our Compensation Structure Continues to Evolve In Line with Stockholder Feedback</w:t>
      </w:r>
    </w:p>
    <w:p>
      <w:pPr>
        <w:spacing w:after="0" w:line="195" w:lineRule="exact"/>
        <w:rPr>
          <w:sz w:val="20"/>
          <w:szCs w:val="20"/>
          <w:color w:val="auto"/>
        </w:rPr>
      </w:pPr>
    </w:p>
    <w:p>
      <w:pPr>
        <w:ind w:left="120" w:right="320"/>
        <w:spacing w:after="0" w:line="257" w:lineRule="auto"/>
        <w:rPr>
          <w:sz w:val="20"/>
          <w:szCs w:val="20"/>
          <w:color w:val="auto"/>
        </w:rPr>
      </w:pPr>
      <w:r>
        <w:rPr>
          <w:rFonts w:ascii="Arial" w:cs="Arial" w:eastAsia="Arial" w:hAnsi="Arial"/>
          <w:sz w:val="20"/>
          <w:szCs w:val="20"/>
          <w:color w:val="auto"/>
        </w:rPr>
        <w:t>Our PC&amp;C committee values input from stockholders, and stockholder feedback is an integral part of committee and board discussions and decisions.</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 In 2023, we engaged with stockholders who collectively own a meaningful percentage of outstanding shares</w:t>
      </w:r>
    </w:p>
    <w:p>
      <w:pPr>
        <w:spacing w:after="0" w:line="198" w:lineRule="exact"/>
        <w:rPr>
          <w:sz w:val="20"/>
          <w:szCs w:val="20"/>
          <w:color w:val="auto"/>
        </w:rPr>
      </w:pPr>
    </w:p>
    <w:p>
      <w:pPr>
        <w:ind w:left="740" w:right="100" w:hanging="269"/>
        <w:spacing w:after="0" w:line="271" w:lineRule="auto"/>
        <w:rPr>
          <w:sz w:val="20"/>
          <w:szCs w:val="20"/>
          <w:color w:val="auto"/>
        </w:rPr>
      </w:pPr>
      <w:r>
        <w:rPr>
          <w:rFonts w:ascii="Arial" w:cs="Arial" w:eastAsia="Arial" w:hAnsi="Arial"/>
          <w:sz w:val="18"/>
          <w:szCs w:val="18"/>
          <w:color w:val="auto"/>
        </w:rPr>
        <w:t>•     Stockholders we spoke with affirmed strong support for our executive compensation philosophy and structure and appreciated the emphasis on performance-based equity</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For more information, please see “Board Response to Stockholder Feedback” section in this CD&amp;A</w:t>
      </w:r>
      <w:r>
        <w:rPr>
          <w:rFonts w:ascii="Arial" w:cs="Arial" w:eastAsia="Arial" w:hAnsi="Arial"/>
          <w:sz w:val="20"/>
          <w:szCs w:val="20"/>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236220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2482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248285"/>
                    </a:xfrm>
                    <a:prstGeom prst="rect">
                      <a:avLst/>
                    </a:prstGeom>
                    <a:noFill/>
                  </pic:spPr>
                </pic:pic>
              </a:graphicData>
            </a:graphic>
          </wp:anchor>
        </w:drawing>
      </w:r>
    </w:p>
    <w:p>
      <w:pPr>
        <w:spacing w:after="0" w:line="34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Our Compensation Aligns With Long-Term Stockholder Interests</w:t>
      </w:r>
    </w:p>
    <w:p>
      <w:pPr>
        <w:spacing w:after="0" w:line="195" w:lineRule="exact"/>
        <w:rPr>
          <w:sz w:val="20"/>
          <w:szCs w:val="20"/>
          <w:color w:val="auto"/>
        </w:rPr>
      </w:pPr>
    </w:p>
    <w:p>
      <w:pPr>
        <w:ind w:left="120" w:right="140"/>
        <w:spacing w:after="0" w:line="257" w:lineRule="auto"/>
        <w:rPr>
          <w:sz w:val="20"/>
          <w:szCs w:val="20"/>
          <w:color w:val="auto"/>
        </w:rPr>
      </w:pPr>
      <w:r>
        <w:rPr>
          <w:rFonts w:ascii="Arial" w:cs="Arial" w:eastAsia="Arial" w:hAnsi="Arial"/>
          <w:sz w:val="20"/>
          <w:szCs w:val="20"/>
          <w:color w:val="auto"/>
        </w:rPr>
        <w:t>Our PC&amp;C committee has adopted incentive designs and governance policies that align the interests of our NEOs with those of our long-term stockholders. These include:</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 Strong emphasis on performance-based equity awards</w:t>
      </w:r>
    </w:p>
    <w:p>
      <w:pPr>
        <w:spacing w:after="0" w:line="198" w:lineRule="exact"/>
        <w:rPr>
          <w:sz w:val="20"/>
          <w:szCs w:val="20"/>
          <w:color w:val="auto"/>
        </w:rPr>
      </w:pPr>
    </w:p>
    <w:p>
      <w:pPr>
        <w:ind w:left="740" w:right="380" w:hanging="269"/>
        <w:spacing w:after="0" w:line="253" w:lineRule="auto"/>
        <w:rPr>
          <w:sz w:val="20"/>
          <w:szCs w:val="20"/>
          <w:color w:val="auto"/>
        </w:rPr>
      </w:pPr>
      <w:r>
        <w:rPr>
          <w:rFonts w:ascii="Arial" w:cs="Arial" w:eastAsia="Arial" w:hAnsi="Arial"/>
          <w:sz w:val="18"/>
          <w:szCs w:val="18"/>
          <w:color w:val="auto"/>
        </w:rPr>
        <w:t>•     Annual incentive bonus payout of 105% based on company performance against pre-established goals and additional considerations, with our CEO’s total direct compensation and an average of 78% of our other NEO’s total direct compensation delivered in long-term equity awards</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 No guaranteed annual bonuses or salary increases</w:t>
      </w:r>
    </w:p>
    <w:p>
      <w:pPr>
        <w:spacing w:after="0" w:line="198" w:lineRule="exact"/>
        <w:rPr>
          <w:sz w:val="20"/>
          <w:szCs w:val="20"/>
          <w:color w:val="auto"/>
        </w:rPr>
      </w:pPr>
    </w:p>
    <w:p>
      <w:pPr>
        <w:ind w:left="740" w:right="100" w:hanging="269"/>
        <w:spacing w:after="0" w:line="271" w:lineRule="auto"/>
        <w:rPr>
          <w:sz w:val="20"/>
          <w:szCs w:val="20"/>
          <w:color w:val="auto"/>
        </w:rPr>
      </w:pPr>
      <w:r>
        <w:rPr>
          <w:rFonts w:ascii="Arial" w:cs="Arial" w:eastAsia="Arial" w:hAnsi="Arial"/>
          <w:sz w:val="18"/>
          <w:szCs w:val="18"/>
          <w:color w:val="auto"/>
        </w:rPr>
        <w:t>•     Robust compensation risk-mitigation policies including clawback, prohibition on pledging and hedging of company stock and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289560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Board Response to Stockholder Feedback</w:t>
      </w:r>
    </w:p>
    <w:p>
      <w:pPr>
        <w:spacing w:after="0" w:line="204" w:lineRule="exact"/>
        <w:rPr>
          <w:sz w:val="20"/>
          <w:szCs w:val="20"/>
          <w:color w:val="auto"/>
        </w:rPr>
      </w:pPr>
    </w:p>
    <w:p>
      <w:pPr>
        <w:ind w:left="120" w:right="100" w:firstLine="771"/>
        <w:spacing w:after="0" w:line="231" w:lineRule="auto"/>
        <w:rPr>
          <w:sz w:val="20"/>
          <w:szCs w:val="20"/>
          <w:color w:val="auto"/>
        </w:rPr>
      </w:pPr>
      <w:r>
        <w:rPr>
          <w:rFonts w:ascii="Arial" w:cs="Arial" w:eastAsia="Arial" w:hAnsi="Arial"/>
          <w:sz w:val="20"/>
          <w:szCs w:val="20"/>
          <w:color w:val="auto"/>
        </w:rPr>
        <w:t>We value stockholder feedback concerning our executive compensation program and have routinely received strong stockholder support for our say-on-pay proposals. At our 2023 annual meeting, our say-on-pay proposal received support from 96% of the votes cast by our stockholders on the matter. Also at our 2023 annual meeting, 99% of the votes cast by our stockholders supported a frequency of one-year for advisory votes on the compensation of our NEOs. We currently intend to hold an advisory vote on the compensation of our NEOs every year until the next required advisory vote on the frequency of holding the advisory vote on NEO compensation. Annually, we reach out to stockholders collectively owning a meaningful percentage of our outstanding common stock. Based on the feedback received, our PC&amp;C committee believes that our stockholders generally endorse our executive compensation philosophy and program design.</w:t>
      </w:r>
    </w:p>
    <w:p>
      <w:pPr>
        <w:spacing w:after="0" w:line="173" w:lineRule="exact"/>
        <w:rPr>
          <w:sz w:val="20"/>
          <w:szCs w:val="20"/>
          <w:color w:val="auto"/>
        </w:rPr>
      </w:pPr>
    </w:p>
    <w:p>
      <w:pPr>
        <w:ind w:left="120" w:right="100" w:firstLine="771"/>
        <w:spacing w:after="0" w:line="232" w:lineRule="auto"/>
        <w:rPr>
          <w:sz w:val="20"/>
          <w:szCs w:val="20"/>
          <w:color w:val="auto"/>
        </w:rPr>
      </w:pPr>
      <w:r>
        <w:rPr>
          <w:rFonts w:ascii="Arial" w:cs="Arial" w:eastAsia="Arial" w:hAnsi="Arial"/>
          <w:sz w:val="20"/>
          <w:szCs w:val="20"/>
          <w:color w:val="auto"/>
        </w:rPr>
        <w:t>During previous outreach to stockholders, we received feedback regarding our stock ownership guidelines. Stockholders questioned whether our stock ownership guidelines should include unvested and unearned options and unvested performance stock unit award shares for purposes of fulfilling ownership requirements. During 2023, with the assistance of its compensation consultant, Pay Governance, the PC&amp;C committee reviewed and revised our stock ownership guidelines for NEOs and non-executive directors, including to exclude unvested shares subject to a performance stock unit award for purposes of fulfilling ownership guidelines. For more information, please see “Stock Ownership Guidelines” in this CD&amp;A.</w:t>
      </w:r>
    </w:p>
    <w:p>
      <w:pPr>
        <w:spacing w:after="0" w:line="197" w:lineRule="exact"/>
        <w:rPr>
          <w:sz w:val="20"/>
          <w:szCs w:val="20"/>
          <w:color w:val="auto"/>
        </w:rPr>
      </w:pPr>
    </w:p>
    <w:p>
      <w:pPr>
        <w:jc w:val="center"/>
        <w:ind w:left="440" w:right="620"/>
        <w:spacing w:after="0" w:line="297" w:lineRule="auto"/>
        <w:rPr>
          <w:sz w:val="20"/>
          <w:szCs w:val="20"/>
          <w:color w:val="auto"/>
        </w:rPr>
      </w:pPr>
      <w:r>
        <w:rPr>
          <w:rFonts w:ascii="Arial" w:cs="Arial" w:eastAsia="Arial" w:hAnsi="Arial"/>
          <w:sz w:val="19"/>
          <w:szCs w:val="19"/>
          <w:b w:val="1"/>
          <w:bCs w:val="1"/>
          <w:color w:val="auto"/>
        </w:rPr>
        <w:t>The board and PC&amp;C committee remain committed to stockholder engagement. Feedback received during the engagement serves as a key input to board and PC&amp;C committee discussions and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211455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Executive Compensation Governance Practices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addition to our pay-for-performance compensation structure, we have strong compensation governance practices.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These practices are rooted in our executive compensation philosophy and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2228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  Alnylam’s Policies and Practices</w:t>
      </w:r>
    </w:p>
    <w:p>
      <w:pPr>
        <w:spacing w:after="0" w:line="171" w:lineRule="exact"/>
        <w:rPr>
          <w:sz w:val="20"/>
          <w:szCs w:val="20"/>
          <w:color w:val="auto"/>
        </w:rPr>
      </w:pPr>
    </w:p>
    <w:p>
      <w:pPr>
        <w:ind w:left="380"/>
        <w:spacing w:after="0"/>
        <w:tabs>
          <w:tab w:leader="none" w:pos="6220" w:val="left"/>
        </w:tabs>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 Pay Outcomes Contingent on Performance</w:t>
      </w:r>
      <w:r>
        <w:rPr>
          <w:sz w:val="20"/>
          <w:szCs w:val="20"/>
          <w:color w:val="auto"/>
        </w:rPr>
        <w:tab/>
      </w:r>
      <w:r>
        <w:rPr>
          <w:rFonts w:ascii="Arial" w:cs="Arial" w:eastAsia="Arial" w:hAnsi="Arial"/>
          <w:sz w:val="17"/>
          <w:szCs w:val="17"/>
          <w:color w:val="auto"/>
        </w:rPr>
        <w:t>•    </w:t>
      </w:r>
      <w:r>
        <w:rPr>
          <w:rFonts w:ascii="Arial" w:cs="Arial" w:eastAsia="Arial" w:hAnsi="Arial"/>
          <w:sz w:val="17"/>
          <w:szCs w:val="17"/>
          <w:b w:val="1"/>
          <w:bCs w:val="1"/>
          <w:color w:val="auto"/>
        </w:rPr>
        <w:t> No Single-Trigger Equity Acceleration</w:t>
      </w:r>
    </w:p>
    <w:p>
      <w:pPr>
        <w:sectPr>
          <w:pgSz w:w="11900" w:h="16838" w:orient="portrait"/>
          <w:cols w:equalWidth="0" w:num="1">
            <w:col w:w="11140"/>
          </w:cols>
          <w:pgMar w:left="320" w:top="482" w:right="439" w:bottom="1440" w:gutter="0" w:footer="0" w:header="0"/>
        </w:sectPr>
      </w:pPr>
    </w:p>
    <w:p>
      <w:pPr>
        <w:spacing w:after="0" w:line="117" w:lineRule="exact"/>
        <w:rPr>
          <w:sz w:val="20"/>
          <w:szCs w:val="20"/>
          <w:color w:val="auto"/>
        </w:rPr>
      </w:pPr>
    </w:p>
    <w:p>
      <w:pPr>
        <w:ind w:left="660" w:right="320"/>
        <w:spacing w:after="0" w:line="247" w:lineRule="auto"/>
        <w:rPr>
          <w:sz w:val="20"/>
          <w:szCs w:val="20"/>
          <w:color w:val="auto"/>
        </w:rPr>
      </w:pPr>
      <w:r>
        <w:rPr>
          <w:rFonts w:ascii="Arial" w:cs="Arial" w:eastAsia="Arial" w:hAnsi="Arial"/>
          <w:sz w:val="18"/>
          <w:szCs w:val="18"/>
          <w:color w:val="auto"/>
        </w:rPr>
        <w:t>Our executive compensation program reinforces our performance driven culture. A significant percentage of NEO compensation is at-risk and may be realized only if performance goals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2228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All of our change-in-control, or CIC, provisions require both a CIC and a qualifying termination of employment (i.e., “double-trigger”).</w:t>
      </w:r>
    </w:p>
    <w:p>
      <w:pPr>
        <w:spacing w:after="0" w:line="397" w:lineRule="exact"/>
        <w:rPr>
          <w:sz w:val="20"/>
          <w:szCs w:val="20"/>
          <w:color w:val="auto"/>
        </w:rPr>
      </w:pPr>
    </w:p>
    <w:p>
      <w:pPr>
        <w:sectPr>
          <w:pgSz w:w="11900" w:h="16838" w:orient="portrait"/>
          <w:cols w:equalWidth="0" w:num="2">
            <w:col w:w="5780" w:space="720"/>
            <w:col w:w="4640"/>
          </w:cols>
          <w:pgMar w:left="320" w:top="482" w:right="439" w:bottom="1440" w:gutter="0" w:footer="0" w:header="0"/>
          <w:type w:val="continuous"/>
        </w:sect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  Alnylam’s Policies and Practices</w:t>
      </w:r>
    </w:p>
    <w:p>
      <w:pPr>
        <w:spacing w:after="0" w:line="171" w:lineRule="exact"/>
        <w:rPr>
          <w:sz w:val="20"/>
          <w:szCs w:val="20"/>
          <w:color w:val="auto"/>
        </w:rPr>
      </w:pPr>
    </w:p>
    <w:p>
      <w:pPr>
        <w:ind w:left="380"/>
        <w:spacing w:after="0"/>
        <w:tabs>
          <w:tab w:leader="none" w:pos="6100" w:val="left"/>
        </w:tabs>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 Long-Term Alignment with Stockholders</w:t>
      </w:r>
      <w:r>
        <w:rPr>
          <w:sz w:val="20"/>
          <w:szCs w:val="20"/>
          <w:color w:val="auto"/>
        </w:rPr>
        <w:tab/>
      </w:r>
      <w:r>
        <w:rPr>
          <w:rFonts w:ascii="Arial" w:cs="Arial" w:eastAsia="Arial" w:hAnsi="Arial"/>
          <w:sz w:val="17"/>
          <w:szCs w:val="17"/>
          <w:color w:val="auto"/>
        </w:rPr>
        <w:t xml:space="preserve">•     </w:t>
      </w:r>
      <w:r>
        <w:rPr>
          <w:rFonts w:ascii="Arial" w:cs="Arial" w:eastAsia="Arial" w:hAnsi="Arial"/>
          <w:sz w:val="17"/>
          <w:szCs w:val="17"/>
          <w:b w:val="1"/>
          <w:bCs w:val="1"/>
          <w:color w:val="auto"/>
        </w:rPr>
        <w:t>Cash and Equity Incentive Clawback</w:t>
      </w:r>
    </w:p>
    <w:p>
      <w:pPr>
        <w:sectPr>
          <w:pgSz w:w="11900" w:h="16838" w:orient="portrait"/>
          <w:cols w:equalWidth="0" w:num="1">
            <w:col w:w="11140"/>
          </w:cols>
          <w:pgMar w:left="320" w:top="482" w:right="439" w:bottom="1440" w:gutter="0" w:footer="0" w:header="0"/>
          <w:type w:val="continuous"/>
        </w:sectPr>
      </w:pPr>
    </w:p>
    <w:p>
      <w:pPr>
        <w:spacing w:after="0" w:line="117" w:lineRule="exact"/>
        <w:rPr>
          <w:sz w:val="20"/>
          <w:szCs w:val="20"/>
          <w:color w:val="auto"/>
        </w:rPr>
      </w:pPr>
    </w:p>
    <w:p>
      <w:pPr>
        <w:ind w:left="660" w:right="20"/>
        <w:spacing w:after="0" w:line="247" w:lineRule="auto"/>
        <w:rPr>
          <w:sz w:val="20"/>
          <w:szCs w:val="20"/>
          <w:color w:val="auto"/>
        </w:rPr>
      </w:pPr>
      <w:r>
        <w:rPr>
          <w:rFonts w:ascii="Arial" w:cs="Arial" w:eastAsia="Arial" w:hAnsi="Arial"/>
          <w:sz w:val="18"/>
          <w:szCs w:val="18"/>
          <w:color w:val="auto"/>
        </w:rPr>
        <w:t>Half of annual equity awards issued to NEOs are performance-based and vest contingent upon the achievement of pre-specified clinical development events, regulatory events and/or financial metrics.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Our clawback policy applies to both cash and equity incentives and covers all executive officers.</w:t>
      </w:r>
    </w:p>
    <w:p>
      <w:pPr>
        <w:spacing w:after="0" w:line="557" w:lineRule="exact"/>
        <w:rPr>
          <w:sz w:val="20"/>
          <w:szCs w:val="20"/>
          <w:color w:val="auto"/>
        </w:rPr>
      </w:pPr>
    </w:p>
    <w:p>
      <w:pPr>
        <w:sectPr>
          <w:pgSz w:w="11900" w:h="16838" w:orient="portrait"/>
          <w:cols w:equalWidth="0" w:num="2">
            <w:col w:w="5680" w:space="720"/>
            <w:col w:w="474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60"/>
        </w:trPr>
        <w:tc>
          <w:tcPr>
            <w:tcW w:w="5760" w:type="dxa"/>
            <w:vAlign w:val="bottom"/>
            <w:tcBorders>
              <w:top w:val="single" w:sz="8" w:color="1D3060"/>
            </w:tcBorders>
          </w:tcPr>
          <w:p>
            <w:pPr>
              <w:ind w:lef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No Guaranteed Annual Bonus or Salary Increases</w:t>
            </w:r>
          </w:p>
        </w:tc>
        <w:tc>
          <w:tcPr>
            <w:tcW w:w="5260" w:type="dxa"/>
            <w:vAlign w:val="bottom"/>
            <w:tcBorders>
              <w:top w:val="single" w:sz="8" w:color="1D3060"/>
            </w:tcBorders>
          </w:tcPr>
          <w:p>
            <w:pPr>
              <w:ind w:left="2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No Hedging and Pledging Permitted</w:t>
            </w:r>
          </w:p>
        </w:tc>
        <w:tc>
          <w:tcPr>
            <w:tcW w:w="0" w:type="dxa"/>
            <w:vAlign w:val="bottom"/>
          </w:tcPr>
          <w:p>
            <w:pPr>
              <w:spacing w:after="0"/>
              <w:rPr>
                <w:sz w:val="1"/>
                <w:szCs w:val="1"/>
                <w:color w:val="auto"/>
              </w:rPr>
            </w:pPr>
          </w:p>
        </w:tc>
      </w:tr>
      <w:tr>
        <w:trPr>
          <w:trHeight w:val="261"/>
        </w:trPr>
        <w:tc>
          <w:tcPr>
            <w:tcW w:w="5760" w:type="dxa"/>
            <w:vAlign w:val="bottom"/>
          </w:tcPr>
          <w:p>
            <w:pPr>
              <w:ind w:left="540"/>
              <w:spacing w:after="0"/>
              <w:rPr>
                <w:sz w:val="20"/>
                <w:szCs w:val="20"/>
                <w:color w:val="auto"/>
              </w:rPr>
            </w:pPr>
            <w:r>
              <w:rPr>
                <w:rFonts w:ascii="Arial" w:cs="Arial" w:eastAsia="Arial" w:hAnsi="Arial"/>
                <w:sz w:val="18"/>
                <w:szCs w:val="18"/>
                <w:color w:val="auto"/>
              </w:rPr>
              <w:t>As a matter of principle, no executive officers are provided with</w:t>
            </w:r>
          </w:p>
        </w:tc>
        <w:tc>
          <w:tcPr>
            <w:tcW w:w="5260" w:type="dxa"/>
            <w:vAlign w:val="bottom"/>
          </w:tcPr>
          <w:p>
            <w:pPr>
              <w:ind w:left="520"/>
              <w:spacing w:after="0"/>
              <w:rPr>
                <w:sz w:val="20"/>
                <w:szCs w:val="20"/>
                <w:color w:val="auto"/>
              </w:rPr>
            </w:pPr>
            <w:r>
              <w:rPr>
                <w:rFonts w:ascii="Arial" w:cs="Arial" w:eastAsia="Arial" w:hAnsi="Arial"/>
                <w:sz w:val="18"/>
                <w:szCs w:val="18"/>
                <w:color w:val="auto"/>
              </w:rPr>
              <w:t>Our insider trading policy expressly prohibits hedging</w:t>
            </w:r>
          </w:p>
        </w:tc>
        <w:tc>
          <w:tcPr>
            <w:tcW w:w="0" w:type="dxa"/>
            <w:vAlign w:val="bottom"/>
          </w:tcPr>
          <w:p>
            <w:pPr>
              <w:spacing w:after="0"/>
              <w:rPr>
                <w:sz w:val="1"/>
                <w:szCs w:val="1"/>
                <w:color w:val="auto"/>
              </w:rPr>
            </w:pPr>
          </w:p>
        </w:tc>
      </w:tr>
      <w:tr>
        <w:trPr>
          <w:trHeight w:val="203"/>
        </w:trPr>
        <w:tc>
          <w:tcPr>
            <w:tcW w:w="5760" w:type="dxa"/>
            <w:vAlign w:val="bottom"/>
          </w:tcPr>
          <w:p>
            <w:pPr>
              <w:ind w:left="540"/>
              <w:spacing w:after="0" w:line="202" w:lineRule="exact"/>
              <w:rPr>
                <w:sz w:val="20"/>
                <w:szCs w:val="20"/>
                <w:color w:val="auto"/>
              </w:rPr>
            </w:pPr>
            <w:r>
              <w:rPr>
                <w:rFonts w:ascii="Arial" w:cs="Arial" w:eastAsia="Arial" w:hAnsi="Arial"/>
                <w:sz w:val="18"/>
                <w:szCs w:val="18"/>
                <w:color w:val="auto"/>
              </w:rPr>
              <w:t>guaranteed annual salary increases or annual or multi-year</w:t>
            </w:r>
          </w:p>
        </w:tc>
        <w:tc>
          <w:tcPr>
            <w:tcW w:w="5260" w:type="dxa"/>
            <w:vAlign w:val="bottom"/>
          </w:tcPr>
          <w:p>
            <w:pPr>
              <w:ind w:left="520"/>
              <w:spacing w:after="0" w:line="202" w:lineRule="exact"/>
              <w:rPr>
                <w:sz w:val="20"/>
                <w:szCs w:val="20"/>
                <w:color w:val="auto"/>
              </w:rPr>
            </w:pPr>
            <w:r>
              <w:rPr>
                <w:rFonts w:ascii="Arial" w:cs="Arial" w:eastAsia="Arial" w:hAnsi="Arial"/>
                <w:sz w:val="18"/>
                <w:szCs w:val="18"/>
                <w:color w:val="auto"/>
              </w:rPr>
              <w:t>transactions and margin accounts, short sales, and the</w:t>
            </w:r>
          </w:p>
        </w:tc>
        <w:tc>
          <w:tcPr>
            <w:tcW w:w="0" w:type="dxa"/>
            <w:vAlign w:val="bottom"/>
          </w:tcPr>
          <w:p>
            <w:pPr>
              <w:spacing w:after="0"/>
              <w:rPr>
                <w:sz w:val="1"/>
                <w:szCs w:val="1"/>
                <w:color w:val="auto"/>
              </w:rPr>
            </w:pPr>
          </w:p>
        </w:tc>
      </w:tr>
      <w:tr>
        <w:trPr>
          <w:trHeight w:val="239"/>
        </w:trPr>
        <w:tc>
          <w:tcPr>
            <w:tcW w:w="5760" w:type="dxa"/>
            <w:vAlign w:val="bottom"/>
          </w:tcPr>
          <w:p>
            <w:pPr>
              <w:ind w:left="540"/>
              <w:spacing w:after="0"/>
              <w:rPr>
                <w:sz w:val="20"/>
                <w:szCs w:val="20"/>
                <w:color w:val="auto"/>
              </w:rPr>
            </w:pPr>
            <w:r>
              <w:rPr>
                <w:rFonts w:ascii="Arial" w:cs="Arial" w:eastAsia="Arial" w:hAnsi="Arial"/>
                <w:sz w:val="18"/>
                <w:szCs w:val="18"/>
                <w:color w:val="auto"/>
              </w:rPr>
              <w:t>bonuses.</w:t>
            </w:r>
          </w:p>
        </w:tc>
        <w:tc>
          <w:tcPr>
            <w:tcW w:w="5260" w:type="dxa"/>
            <w:vAlign w:val="bottom"/>
          </w:tcPr>
          <w:p>
            <w:pPr>
              <w:ind w:left="520"/>
              <w:spacing w:after="0"/>
              <w:rPr>
                <w:sz w:val="20"/>
                <w:szCs w:val="20"/>
                <w:color w:val="auto"/>
              </w:rPr>
            </w:pPr>
            <w:r>
              <w:rPr>
                <w:rFonts w:ascii="Arial" w:cs="Arial" w:eastAsia="Arial" w:hAnsi="Arial"/>
                <w:sz w:val="18"/>
                <w:szCs w:val="18"/>
                <w:color w:val="auto"/>
              </w:rPr>
              <w:t>pledge of company securities.</w:t>
            </w:r>
          </w:p>
        </w:tc>
        <w:tc>
          <w:tcPr>
            <w:tcW w:w="0" w:type="dxa"/>
            <w:vAlign w:val="bottom"/>
          </w:tcPr>
          <w:p>
            <w:pPr>
              <w:spacing w:after="0"/>
              <w:rPr>
                <w:sz w:val="1"/>
                <w:szCs w:val="1"/>
                <w:color w:val="auto"/>
              </w:rPr>
            </w:pPr>
          </w:p>
        </w:tc>
      </w:tr>
      <w:tr>
        <w:trPr>
          <w:trHeight w:val="199"/>
        </w:trPr>
        <w:tc>
          <w:tcPr>
            <w:tcW w:w="5760" w:type="dxa"/>
            <w:vAlign w:val="bottom"/>
            <w:tcBorders>
              <w:bottom w:val="single" w:sz="8" w:color="1D3060"/>
            </w:tcBorders>
          </w:tcPr>
          <w:p>
            <w:pPr>
              <w:spacing w:after="0"/>
              <w:rPr>
                <w:sz w:val="17"/>
                <w:szCs w:val="17"/>
                <w:color w:val="auto"/>
              </w:rPr>
            </w:pPr>
          </w:p>
        </w:tc>
        <w:tc>
          <w:tcPr>
            <w:tcW w:w="5260" w:type="dxa"/>
            <w:vAlign w:val="bottom"/>
            <w:tcBorders>
              <w:bottom w:val="single" w:sz="8" w:color="1D3060"/>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760" w:type="dxa"/>
            <w:vAlign w:val="bottom"/>
          </w:tcPr>
          <w:p>
            <w:pPr>
              <w:ind w:left="260"/>
              <w:spacing w:after="0" w:line="177"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Good Standing Requirement</w:t>
            </w:r>
          </w:p>
        </w:tc>
        <w:tc>
          <w:tcPr>
            <w:tcW w:w="5260" w:type="dxa"/>
            <w:vAlign w:val="bottom"/>
          </w:tcPr>
          <w:p>
            <w:pPr>
              <w:ind w:left="240"/>
              <w:spacing w:after="0" w:line="177"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Stock Ownership Guidelines Enhance Alignment of</w:t>
            </w:r>
          </w:p>
        </w:tc>
        <w:tc>
          <w:tcPr>
            <w:tcW w:w="0" w:type="dxa"/>
            <w:vAlign w:val="bottom"/>
          </w:tcPr>
          <w:p>
            <w:pPr>
              <w:spacing w:after="0"/>
              <w:rPr>
                <w:sz w:val="1"/>
                <w:szCs w:val="1"/>
                <w:color w:val="auto"/>
              </w:rPr>
            </w:pPr>
          </w:p>
        </w:tc>
      </w:tr>
      <w:tr>
        <w:trPr>
          <w:trHeight w:val="247"/>
        </w:trPr>
        <w:tc>
          <w:tcPr>
            <w:tcW w:w="5760" w:type="dxa"/>
            <w:vAlign w:val="bottom"/>
            <w:vMerge w:val="restart"/>
          </w:tcPr>
          <w:p>
            <w:pPr>
              <w:ind w:left="540"/>
              <w:spacing w:after="0"/>
              <w:rPr>
                <w:sz w:val="20"/>
                <w:szCs w:val="20"/>
                <w:color w:val="auto"/>
              </w:rPr>
            </w:pPr>
            <w:r>
              <w:rPr>
                <w:rFonts w:ascii="Arial" w:cs="Arial" w:eastAsia="Arial" w:hAnsi="Arial"/>
                <w:sz w:val="18"/>
                <w:szCs w:val="18"/>
                <w:color w:val="auto"/>
              </w:rPr>
              <w:t>We require our executive officers to be in good standing to</w:t>
            </w:r>
          </w:p>
        </w:tc>
        <w:tc>
          <w:tcPr>
            <w:tcW w:w="5260" w:type="dxa"/>
            <w:vAlign w:val="bottom"/>
          </w:tcPr>
          <w:p>
            <w:pPr>
              <w:ind w:left="520"/>
              <w:spacing w:after="0"/>
              <w:rPr>
                <w:sz w:val="20"/>
                <w:szCs w:val="20"/>
                <w:color w:val="auto"/>
              </w:rPr>
            </w:pPr>
            <w:r>
              <w:rPr>
                <w:rFonts w:ascii="Arial" w:cs="Arial" w:eastAsia="Arial" w:hAnsi="Arial"/>
                <w:sz w:val="18"/>
                <w:szCs w:val="18"/>
                <w:b w:val="1"/>
                <w:bCs w:val="1"/>
                <w:color w:val="auto"/>
              </w:rPr>
              <w:t>Interests</w:t>
            </w:r>
          </w:p>
        </w:tc>
        <w:tc>
          <w:tcPr>
            <w:tcW w:w="0" w:type="dxa"/>
            <w:vAlign w:val="bottom"/>
          </w:tcPr>
          <w:p>
            <w:pPr>
              <w:spacing w:after="0"/>
              <w:rPr>
                <w:sz w:val="1"/>
                <w:szCs w:val="1"/>
                <w:color w:val="auto"/>
              </w:rPr>
            </w:pPr>
          </w:p>
        </w:tc>
      </w:tr>
      <w:tr>
        <w:trPr>
          <w:trHeight w:val="77"/>
        </w:trPr>
        <w:tc>
          <w:tcPr>
            <w:tcW w:w="5760" w:type="dxa"/>
            <w:vAlign w:val="bottom"/>
            <w:vMerge w:val="continue"/>
          </w:tcPr>
          <w:p>
            <w:pPr>
              <w:spacing w:after="0"/>
              <w:rPr>
                <w:sz w:val="6"/>
                <w:szCs w:val="6"/>
                <w:color w:val="auto"/>
              </w:rPr>
            </w:pPr>
          </w:p>
        </w:tc>
        <w:tc>
          <w:tcPr>
            <w:tcW w:w="5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540"/>
              <w:spacing w:after="0" w:line="202" w:lineRule="exact"/>
              <w:rPr>
                <w:sz w:val="20"/>
                <w:szCs w:val="20"/>
                <w:color w:val="auto"/>
              </w:rPr>
            </w:pPr>
            <w:r>
              <w:rPr>
                <w:rFonts w:ascii="Arial" w:cs="Arial" w:eastAsia="Arial" w:hAnsi="Arial"/>
                <w:sz w:val="18"/>
                <w:szCs w:val="18"/>
                <w:color w:val="auto"/>
              </w:rPr>
              <w:t>receive awards under our annual incentive program.</w:t>
            </w:r>
          </w:p>
        </w:tc>
        <w:tc>
          <w:tcPr>
            <w:tcW w:w="5260" w:type="dxa"/>
            <w:vAlign w:val="bottom"/>
          </w:tcPr>
          <w:p>
            <w:pPr>
              <w:ind w:left="520"/>
              <w:spacing w:after="0" w:line="202" w:lineRule="exact"/>
              <w:rPr>
                <w:sz w:val="20"/>
                <w:szCs w:val="20"/>
                <w:color w:val="auto"/>
              </w:rPr>
            </w:pPr>
            <w:r>
              <w:rPr>
                <w:rFonts w:ascii="Arial" w:cs="Arial" w:eastAsia="Arial" w:hAnsi="Arial"/>
                <w:sz w:val="18"/>
                <w:szCs w:val="18"/>
                <w:color w:val="auto"/>
                <w:w w:val="99"/>
              </w:rPr>
              <w:t>Our stock ownership guidelines strengthen the alignment of</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5260" w:type="dxa"/>
            <w:vAlign w:val="bottom"/>
          </w:tcPr>
          <w:p>
            <w:pPr>
              <w:ind w:left="520"/>
              <w:spacing w:after="0" w:line="202" w:lineRule="exact"/>
              <w:rPr>
                <w:sz w:val="20"/>
                <w:szCs w:val="20"/>
                <w:color w:val="auto"/>
              </w:rPr>
            </w:pPr>
            <w:r>
              <w:rPr>
                <w:rFonts w:ascii="Arial" w:cs="Arial" w:eastAsia="Arial" w:hAnsi="Arial"/>
                <w:sz w:val="18"/>
                <w:szCs w:val="18"/>
                <w:color w:val="auto"/>
              </w:rPr>
              <w:t>the interests of our executive officers with those of our</w:t>
            </w:r>
          </w:p>
        </w:tc>
        <w:tc>
          <w:tcPr>
            <w:tcW w:w="0" w:type="dxa"/>
            <w:vAlign w:val="bottom"/>
          </w:tcPr>
          <w:p>
            <w:pPr>
              <w:spacing w:after="0"/>
              <w:rPr>
                <w:sz w:val="1"/>
                <w:szCs w:val="1"/>
                <w:color w:val="auto"/>
              </w:rPr>
            </w:pPr>
          </w:p>
        </w:tc>
      </w:tr>
      <w:tr>
        <w:trPr>
          <w:trHeight w:val="239"/>
        </w:trPr>
        <w:tc>
          <w:tcPr>
            <w:tcW w:w="5760" w:type="dxa"/>
            <w:vAlign w:val="bottom"/>
          </w:tcPr>
          <w:p>
            <w:pPr>
              <w:spacing w:after="0"/>
              <w:rPr>
                <w:sz w:val="20"/>
                <w:szCs w:val="20"/>
                <w:color w:val="auto"/>
              </w:rPr>
            </w:pPr>
          </w:p>
        </w:tc>
        <w:tc>
          <w:tcPr>
            <w:tcW w:w="5260" w:type="dxa"/>
            <w:vAlign w:val="bottom"/>
          </w:tcPr>
          <w:p>
            <w:pPr>
              <w:ind w:left="520"/>
              <w:spacing w:after="0"/>
              <w:rPr>
                <w:sz w:val="20"/>
                <w:szCs w:val="20"/>
                <w:color w:val="auto"/>
              </w:rPr>
            </w:pPr>
            <w:r>
              <w:rPr>
                <w:rFonts w:ascii="Arial" w:cs="Arial" w:eastAsia="Arial" w:hAnsi="Arial"/>
                <w:sz w:val="18"/>
                <w:szCs w:val="18"/>
                <w:color w:val="auto"/>
              </w:rPr>
              <w:t>long-term stockholders.</w:t>
            </w:r>
          </w:p>
        </w:tc>
        <w:tc>
          <w:tcPr>
            <w:tcW w:w="0" w:type="dxa"/>
            <w:vAlign w:val="bottom"/>
          </w:tcPr>
          <w:p>
            <w:pPr>
              <w:spacing w:after="0"/>
              <w:rPr>
                <w:sz w:val="1"/>
                <w:szCs w:val="1"/>
                <w:color w:val="auto"/>
              </w:rPr>
            </w:pPr>
          </w:p>
        </w:tc>
      </w:tr>
      <w:tr>
        <w:trPr>
          <w:trHeight w:val="198"/>
        </w:trPr>
        <w:tc>
          <w:tcPr>
            <w:tcW w:w="5760" w:type="dxa"/>
            <w:vAlign w:val="bottom"/>
            <w:tcBorders>
              <w:bottom w:val="single" w:sz="8" w:color="1D3060"/>
            </w:tcBorders>
          </w:tcPr>
          <w:p>
            <w:pPr>
              <w:spacing w:after="0"/>
              <w:rPr>
                <w:sz w:val="17"/>
                <w:szCs w:val="17"/>
                <w:color w:val="auto"/>
              </w:rPr>
            </w:pPr>
          </w:p>
        </w:tc>
        <w:tc>
          <w:tcPr>
            <w:tcW w:w="5260" w:type="dxa"/>
            <w:vAlign w:val="bottom"/>
            <w:tcBorders>
              <w:bottom w:val="single" w:sz="8" w:color="1D3060"/>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760" w:type="dxa"/>
            <w:vAlign w:val="bottom"/>
          </w:tcPr>
          <w:p>
            <w:pPr>
              <w:ind w:lef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Limited Perquisites Align with Pay-for-Performance Focus</w:t>
            </w:r>
          </w:p>
        </w:tc>
        <w:tc>
          <w:tcPr>
            <w:tcW w:w="5260" w:type="dxa"/>
            <w:vAlign w:val="bottom"/>
          </w:tcPr>
          <w:p>
            <w:pPr>
              <w:ind w:left="2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No excise tax and generally no other tax gross-ups</w:t>
            </w: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1">
            <w:col w:w="11140"/>
          </w:cols>
          <w:pgMar w:left="320" w:top="482" w:right="439" w:bottom="1440" w:gutter="0" w:footer="0" w:header="0"/>
          <w:type w:val="continuous"/>
        </w:sectPr>
      </w:pPr>
    </w:p>
    <w:p>
      <w:pPr>
        <w:ind w:left="660"/>
        <w:spacing w:after="0" w:line="275" w:lineRule="auto"/>
        <w:rPr>
          <w:sz w:val="20"/>
          <w:szCs w:val="20"/>
          <w:color w:val="auto"/>
        </w:rPr>
      </w:pPr>
      <w:r>
        <w:rPr>
          <w:rFonts w:ascii="Arial" w:cs="Arial" w:eastAsia="Arial" w:hAnsi="Arial"/>
          <w:sz w:val="17"/>
          <w:szCs w:val="17"/>
          <w:color w:val="auto"/>
        </w:rPr>
        <w:t>Consistent with our pay-for-performance philosophy, we provide limited perquisites. We do not provide perquisites such as automobile leases, driver services or personal use of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210820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71" w:lineRule="auto"/>
        <w:rPr>
          <w:sz w:val="20"/>
          <w:szCs w:val="20"/>
          <w:color w:val="auto"/>
        </w:rPr>
      </w:pPr>
      <w:r>
        <w:rPr>
          <w:rFonts w:ascii="Arial" w:cs="Arial" w:eastAsia="Arial" w:hAnsi="Arial"/>
          <w:sz w:val="18"/>
          <w:szCs w:val="18"/>
          <w:color w:val="auto"/>
        </w:rPr>
        <w:t>We do not provide excise tax gross-ups, and we generally do not provide other tax gross-ups.</w:t>
      </w:r>
    </w:p>
    <w:p>
      <w:pPr>
        <w:spacing w:after="0" w:line="404" w:lineRule="exact"/>
        <w:rPr>
          <w:sz w:val="20"/>
          <w:szCs w:val="20"/>
          <w:color w:val="auto"/>
        </w:rPr>
      </w:pPr>
    </w:p>
    <w:p>
      <w:pPr>
        <w:sectPr>
          <w:pgSz w:w="11900" w:h="16838" w:orient="portrait"/>
          <w:cols w:equalWidth="0" w:num="2">
            <w:col w:w="5740" w:space="660"/>
            <w:col w:w="4740"/>
          </w:cols>
          <w:pgMar w:left="320" w:top="482" w:right="439" w:bottom="1440" w:gutter="0" w:footer="0" w:header="0"/>
          <w:type w:val="continuous"/>
        </w:sectPr>
      </w:pPr>
    </w:p>
    <w:p>
      <w:pPr>
        <w:spacing w:after="0" w:line="181"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Select Business Highlights For 2023</w:t>
      </w:r>
    </w:p>
    <w:p>
      <w:pPr>
        <w:spacing w:after="0" w:line="204" w:lineRule="exact"/>
        <w:rPr>
          <w:sz w:val="20"/>
          <w:szCs w:val="20"/>
          <w:color w:val="auto"/>
        </w:rPr>
      </w:pPr>
    </w:p>
    <w:p>
      <w:pPr>
        <w:ind w:left="120" w:right="100" w:firstLine="771"/>
        <w:spacing w:after="0" w:line="246" w:lineRule="auto"/>
        <w:rPr>
          <w:sz w:val="20"/>
          <w:szCs w:val="20"/>
          <w:color w:val="auto"/>
        </w:rPr>
      </w:pPr>
      <w:r>
        <w:rPr>
          <w:rFonts w:ascii="Arial" w:cs="Arial" w:eastAsia="Arial" w:hAnsi="Arial"/>
          <w:sz w:val="19"/>
          <w:szCs w:val="19"/>
          <w:color w:val="auto"/>
        </w:rPr>
        <w:t>We are a global commercial-stage biopharmaceutical company developing novel therapeutics based on RNAi. RNAi is a naturally occurring biological pathway within cells for sequence-specific silencing and regulation of gene expression. By harnessing the RNAi pathway, we have developed a new class of innovative medicines, known as RNAi therapeutics. RNAi therapeutics are comprised of small interfering RNA and function upstream of most other classes of medicines by silencing messenger RNA that encode for proteins implicated in causing disease, thus preventing these proteins from being made. We believe this is a revolutionary approach with the potential to transform the care of patients with rare and prevalent diseases.</w:t>
      </w:r>
    </w:p>
    <w:p>
      <w:pPr>
        <w:spacing w:after="0" w:line="168" w:lineRule="exact"/>
        <w:rPr>
          <w:sz w:val="20"/>
          <w:szCs w:val="20"/>
          <w:color w:val="auto"/>
        </w:rPr>
      </w:pPr>
    </w:p>
    <w:p>
      <w:pPr>
        <w:ind w:left="120" w:right="20" w:firstLine="771"/>
        <w:spacing w:after="0" w:line="212" w:lineRule="auto"/>
        <w:rPr>
          <w:sz w:val="20"/>
          <w:szCs w:val="20"/>
          <w:color w:val="auto"/>
        </w:rPr>
      </w:pPr>
      <w:r>
        <w:rPr>
          <w:rFonts w:ascii="Arial" w:cs="Arial" w:eastAsia="Arial" w:hAnsi="Arial"/>
          <w:sz w:val="20"/>
          <w:szCs w:val="20"/>
          <w:color w:val="auto"/>
        </w:rPr>
        <w:t xml:space="preserve">We believe 2023 was a year of solid performance for Alnylam, as we continued to make progress on our commercial, clinical development and other corporate goals. Based on our track record of setting and exceeding five-year goals, in 2021, we launched our </w:t>
      </w:r>
      <w:r>
        <w:rPr>
          <w:rFonts w:ascii="Arial" w:cs="Arial" w:eastAsia="Arial" w:hAnsi="Arial"/>
          <w:sz w:val="20"/>
          <w:szCs w:val="20"/>
          <w:i w:val="1"/>
          <w:iCs w:val="1"/>
          <w:color w:val="auto"/>
        </w:rPr>
        <w:t>Alnylam P</w:t>
      </w:r>
      <w:r>
        <w:rPr>
          <w:rFonts w:ascii="Arial" w:cs="Arial" w:eastAsia="Arial" w:hAnsi="Arial"/>
          <w:sz w:val="29"/>
          <w:szCs w:val="29"/>
          <w:i w:val="1"/>
          <w:iCs w:val="1"/>
          <w:color w:val="auto"/>
          <w:vertAlign w:val="superscript"/>
        </w:rPr>
        <w:t>5</w:t>
      </w:r>
      <w:r>
        <w:rPr>
          <w:rFonts w:ascii="Arial" w:cs="Arial" w:eastAsia="Arial" w:hAnsi="Arial"/>
          <w:sz w:val="20"/>
          <w:szCs w:val="20"/>
          <w:i w:val="1"/>
          <w:iCs w:val="1"/>
          <w:color w:val="auto"/>
        </w:rPr>
        <w:t>x25</w:t>
      </w:r>
      <w:r>
        <w:rPr>
          <w:rFonts w:ascii="Arial" w:cs="Arial" w:eastAsia="Arial" w:hAnsi="Arial"/>
          <w:sz w:val="20"/>
          <w:szCs w:val="20"/>
          <w:color w:val="auto"/>
        </w:rPr>
        <w:t xml:space="preserve"> strategy which focuses on our planned transition to a top-tier biotech company by the end of 2025. With </w:t>
      </w:r>
      <w:r>
        <w:rPr>
          <w:rFonts w:ascii="Arial" w:cs="Arial" w:eastAsia="Arial" w:hAnsi="Arial"/>
          <w:sz w:val="20"/>
          <w:szCs w:val="20"/>
          <w:i w:val="1"/>
          <w:iCs w:val="1"/>
          <w:color w:val="auto"/>
        </w:rPr>
        <w:t>Alnylam P</w:t>
      </w:r>
      <w:r>
        <w:rPr>
          <w:rFonts w:ascii="Arial" w:cs="Arial" w:eastAsia="Arial" w:hAnsi="Arial"/>
          <w:sz w:val="29"/>
          <w:szCs w:val="29"/>
          <w:i w:val="1"/>
          <w:iCs w:val="1"/>
          <w:color w:val="auto"/>
          <w:vertAlign w:val="superscript"/>
        </w:rPr>
        <w:t>5</w:t>
      </w:r>
      <w:r>
        <w:rPr>
          <w:rFonts w:ascii="Arial" w:cs="Arial" w:eastAsia="Arial" w:hAnsi="Arial"/>
          <w:sz w:val="20"/>
          <w:szCs w:val="20"/>
          <w:i w:val="1"/>
          <w:iCs w:val="1"/>
          <w:color w:val="auto"/>
        </w:rPr>
        <w:t>x25</w:t>
      </w:r>
      <w:r>
        <w:rPr>
          <w:rFonts w:ascii="Arial" w:cs="Arial" w:eastAsia="Arial" w:hAnsi="Arial"/>
          <w:sz w:val="20"/>
          <w:szCs w:val="20"/>
          <w:color w:val="auto"/>
        </w:rPr>
        <w:t>, we aim to deliver transformative rare and prevalent disease medicines for patients around the world through sustainable innovation, while delivering exceptional financial performance and driving profitability. We ended 2023 making considerable progress on these goals, and currently have five marketed products and more than ten clinical programs, including several in late-stage development, across rare, specialty and select prevalent indications. Based on our performance in 2023, our board determined that we achieved 105% of our corporate goals for fiscal year 2023, including a majority of our commercial goals, all of our culture and growth management goals, the majority of our early- and mid-stage pipeline and strategic infrastructure goals, and, as discussed below, additional milestones that were not part of our pre-established goals but which represented significant achievements by the company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3771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SELECT BUSINESS HIGHLIGHTS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274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COMMERCIAL ACHIEVEMENTS</w:t>
      </w:r>
    </w:p>
    <w:p>
      <w:pPr>
        <w:spacing w:after="0" w:line="144" w:lineRule="exact"/>
        <w:rPr>
          <w:sz w:val="20"/>
          <w:szCs w:val="20"/>
          <w:color w:val="auto"/>
        </w:rPr>
      </w:pPr>
    </w:p>
    <w:p>
      <w:pPr>
        <w:ind w:left="740" w:right="1100" w:hanging="269"/>
        <w:spacing w:after="0" w:line="271" w:lineRule="auto"/>
        <w:rPr>
          <w:sz w:val="20"/>
          <w:szCs w:val="20"/>
          <w:color w:val="auto"/>
        </w:rPr>
      </w:pPr>
      <w:r>
        <w:rPr>
          <w:rFonts w:ascii="Arial" w:cs="Arial" w:eastAsia="Arial" w:hAnsi="Arial"/>
          <w:sz w:val="18"/>
          <w:szCs w:val="18"/>
          <w:color w:val="auto"/>
        </w:rPr>
        <w:t>•   Achieved global net product revenues for ONPATTRO (patisiran) and AMVUTTRA (vutrisiran) for the full year 2023 of $354.5 million and $557.8 million, respectively</w:t>
      </w:r>
    </w:p>
    <w:p>
      <w:pPr>
        <w:spacing w:after="0" w:line="140" w:lineRule="exact"/>
        <w:rPr>
          <w:sz w:val="20"/>
          <w:szCs w:val="20"/>
          <w:color w:val="auto"/>
        </w:rPr>
      </w:pPr>
    </w:p>
    <w:p>
      <w:pPr>
        <w:ind w:left="740" w:right="440" w:hanging="269"/>
        <w:spacing w:after="0" w:line="271" w:lineRule="auto"/>
        <w:rPr>
          <w:sz w:val="20"/>
          <w:szCs w:val="20"/>
          <w:color w:val="auto"/>
        </w:rPr>
      </w:pPr>
      <w:r>
        <w:rPr>
          <w:rFonts w:ascii="Arial" w:cs="Arial" w:eastAsia="Arial" w:hAnsi="Arial"/>
          <w:sz w:val="18"/>
          <w:szCs w:val="18"/>
          <w:color w:val="auto"/>
        </w:rPr>
        <w:t>•   Attained over 4,060 hATTR amyloidosis patients with polyneuropathy worldwide on commercial treatment with ONPATTRO or AMVUTTRA as of December 31, 2023</w:t>
      </w:r>
    </w:p>
    <w:p>
      <w:pPr>
        <w:spacing w:after="0" w:line="140" w:lineRule="exact"/>
        <w:rPr>
          <w:sz w:val="20"/>
          <w:szCs w:val="20"/>
          <w:color w:val="auto"/>
        </w:rPr>
      </w:pPr>
    </w:p>
    <w:p>
      <w:pPr>
        <w:ind w:left="480" w:right="1400"/>
        <w:spacing w:after="0" w:line="469" w:lineRule="auto"/>
        <w:rPr>
          <w:sz w:val="20"/>
          <w:szCs w:val="20"/>
          <w:color w:val="auto"/>
        </w:rPr>
      </w:pPr>
      <w:r>
        <w:rPr>
          <w:rFonts w:ascii="Arial" w:cs="Arial" w:eastAsia="Arial" w:hAnsi="Arial"/>
          <w:sz w:val="18"/>
          <w:szCs w:val="18"/>
          <w:color w:val="auto"/>
        </w:rPr>
        <w:t>•   Recognized global net revenue of $219.3 million for the year ended December 31, 2023 for GIVLAARI (givosiran) •    Attained over 650 patients worldwide on commercial GIVLAARI treatment as of December 31, 2023</w:t>
      </w:r>
    </w:p>
    <w:p>
      <w:pPr>
        <w:spacing w:after="0" w:line="1" w:lineRule="exact"/>
        <w:rPr>
          <w:sz w:val="20"/>
          <w:szCs w:val="20"/>
          <w:color w:val="auto"/>
        </w:rPr>
      </w:pPr>
    </w:p>
    <w:p>
      <w:pPr>
        <w:ind w:left="480" w:right="1420"/>
        <w:spacing w:after="0" w:line="506" w:lineRule="auto"/>
        <w:rPr>
          <w:sz w:val="20"/>
          <w:szCs w:val="20"/>
          <w:color w:val="auto"/>
        </w:rPr>
      </w:pPr>
      <w:r>
        <w:rPr>
          <w:rFonts w:ascii="Arial" w:cs="Arial" w:eastAsia="Arial" w:hAnsi="Arial"/>
          <w:sz w:val="18"/>
          <w:szCs w:val="18"/>
          <w:color w:val="auto"/>
        </w:rPr>
        <w:t>•    Recognized global net revenue of $109.8 million for the year ended December 31, 2023 for OXLUMO (lumasiran) •    Attained over 430 patients worldwide on commercial OXLUMO treatment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2654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spacing w:after="0" w:line="37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CLINICAL &amp; REGULATORY ACHIEVEMENTS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 Advanced robust pipeline ending 2023 with more than ten active clinical-stage programs</w:t>
      </w:r>
    </w:p>
    <w:p>
      <w:pPr>
        <w:spacing w:after="0" w:line="198" w:lineRule="exact"/>
        <w:rPr>
          <w:sz w:val="20"/>
          <w:szCs w:val="20"/>
          <w:color w:val="auto"/>
        </w:rPr>
      </w:pPr>
    </w:p>
    <w:p>
      <w:pPr>
        <w:ind w:left="740" w:right="100" w:hanging="269"/>
        <w:spacing w:after="0" w:line="253" w:lineRule="auto"/>
        <w:rPr>
          <w:sz w:val="20"/>
          <w:szCs w:val="20"/>
          <w:color w:val="auto"/>
        </w:rPr>
      </w:pPr>
      <w:r>
        <w:rPr>
          <w:rFonts w:ascii="Arial" w:cs="Arial" w:eastAsia="Arial" w:hAnsi="Arial"/>
          <w:sz w:val="18"/>
          <w:szCs w:val="18"/>
          <w:color w:val="auto"/>
        </w:rPr>
        <w:t>•   Reported positive interim results from the ongoing single ascending dose part of the Phase 1 study of ALN-APP in patients with early-onset Alzheimer’s disease, establishing the first human translation of our proprietary C16-siRNA conjugate platform for CNS delivery and the first clinical demonstration of gene silencing in the human brain using an RNAi therapeutic</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 Reported positive topline results from the KARDIA-1 Phase 2 dose-ranging study of zilebesiran</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 Presented positive initial topline results from the Phase 1 study of ALN-TTRsc04 in healthy volunteers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 Advanced early-stage pipeline, including ALN-KHK for the treatment of type 2 diabetes mellitus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265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BUSINESS AND STRATEGIC INITIATIVES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 Entered into global strategic collaboration with Roche for the co-development and co-commercialization of zilebesiran</w:t>
      </w:r>
    </w:p>
    <w:p>
      <w:pPr>
        <w:spacing w:after="0" w:line="198" w:lineRule="exact"/>
        <w:rPr>
          <w:sz w:val="20"/>
          <w:szCs w:val="20"/>
          <w:color w:val="auto"/>
        </w:rPr>
      </w:pPr>
    </w:p>
    <w:p>
      <w:pPr>
        <w:ind w:left="740" w:right="600" w:hanging="269"/>
        <w:spacing w:after="0" w:line="271" w:lineRule="auto"/>
        <w:rPr>
          <w:sz w:val="20"/>
          <w:szCs w:val="20"/>
          <w:color w:val="auto"/>
        </w:rPr>
      </w:pPr>
      <w:r>
        <w:rPr>
          <w:rFonts w:ascii="Arial" w:cs="Arial" w:eastAsia="Arial" w:hAnsi="Arial"/>
          <w:sz w:val="18"/>
          <w:szCs w:val="18"/>
          <w:color w:val="auto"/>
        </w:rPr>
        <w:t>•   Announced U.S. Attorney’s Office for District of Massachusetts concluded and closed investigation regarding marketing and promotion of ONPATTRO, with no action taken</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•    Ranked #1 in </w:t>
      </w:r>
      <w:r>
        <w:rPr>
          <w:rFonts w:ascii="Arial" w:cs="Arial" w:eastAsia="Arial" w:hAnsi="Arial"/>
          <w:sz w:val="18"/>
          <w:szCs w:val="18"/>
          <w:i w:val="1"/>
          <w:iCs w:val="1"/>
          <w:color w:val="auto"/>
        </w:rPr>
        <w:t>Boston Globe’s</w:t>
      </w:r>
      <w:r>
        <w:rPr>
          <w:rFonts w:ascii="Arial" w:cs="Arial" w:eastAsia="Arial" w:hAnsi="Arial"/>
          <w:sz w:val="18"/>
          <w:szCs w:val="18"/>
          <w:color w:val="auto"/>
        </w:rPr>
        <w:t xml:space="preserve"> 2023 Top Places to Work in the “Largest Employer” category</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•    Ranked #3 in </w:t>
      </w:r>
      <w:r>
        <w:rPr>
          <w:rFonts w:ascii="Arial" w:cs="Arial" w:eastAsia="Arial" w:hAnsi="Arial"/>
          <w:sz w:val="17"/>
          <w:szCs w:val="17"/>
          <w:i w:val="1"/>
          <w:iCs w:val="1"/>
          <w:color w:val="auto"/>
        </w:rPr>
        <w:t>Science Magazine’s</w:t>
      </w:r>
      <w:r>
        <w:rPr>
          <w:rFonts w:ascii="Arial" w:cs="Arial" w:eastAsia="Arial" w:hAnsi="Arial"/>
          <w:sz w:val="17"/>
          <w:szCs w:val="17"/>
          <w:color w:val="auto"/>
        </w:rPr>
        <w:t xml:space="preserve"> 2022 Top Employer survey, marking the fifth year Alnylam was among the top three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153670</wp:posOffset>
            </wp:positionV>
            <wp:extent cx="6995160" cy="2660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266065"/>
                    </a:xfrm>
                    <a:prstGeom prst="rect">
                      <a:avLst/>
                    </a:prstGeom>
                    <a:noFill/>
                  </pic:spPr>
                </pic:pic>
              </a:graphicData>
            </a:graphic>
          </wp:anchor>
        </w:drawing>
      </w:r>
    </w:p>
    <w:p>
      <w:pPr>
        <w:spacing w:after="0" w:line="28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FINANCIAL RESULTS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 Ended 2023 with $2.44 billion in cash, cash equivalents and marketable securities</w:t>
      </w:r>
    </w:p>
    <w:p>
      <w:pPr>
        <w:spacing w:after="0" w:line="198" w:lineRule="exact"/>
        <w:rPr>
          <w:sz w:val="20"/>
          <w:szCs w:val="20"/>
          <w:color w:val="auto"/>
        </w:rPr>
      </w:pPr>
    </w:p>
    <w:p>
      <w:pPr>
        <w:ind w:left="740" w:right="240" w:hanging="269"/>
        <w:spacing w:after="0" w:line="271" w:lineRule="auto"/>
        <w:rPr>
          <w:sz w:val="20"/>
          <w:szCs w:val="20"/>
          <w:color w:val="auto"/>
        </w:rPr>
      </w:pPr>
      <w:r>
        <w:rPr>
          <w:rFonts w:ascii="Arial" w:cs="Arial" w:eastAsia="Arial" w:hAnsi="Arial"/>
          <w:sz w:val="18"/>
          <w:szCs w:val="18"/>
          <w:color w:val="auto"/>
        </w:rPr>
        <w:t>•   Grew global net product revenues by 39% during the twelve months ended December 31, 2023 compared to the same period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2654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DISAPPOINTMENTS</w:t>
      </w:r>
    </w:p>
    <w:p>
      <w:pPr>
        <w:spacing w:after="0" w:line="144" w:lineRule="exact"/>
        <w:rPr>
          <w:sz w:val="20"/>
          <w:szCs w:val="20"/>
          <w:color w:val="auto"/>
        </w:rPr>
      </w:pPr>
    </w:p>
    <w:p>
      <w:pPr>
        <w:ind w:left="740" w:right="80" w:hanging="269"/>
        <w:spacing w:after="0" w:line="271" w:lineRule="auto"/>
        <w:rPr>
          <w:sz w:val="20"/>
          <w:szCs w:val="20"/>
          <w:color w:val="auto"/>
        </w:rPr>
      </w:pPr>
      <w:r>
        <w:rPr>
          <w:rFonts w:ascii="Arial" w:cs="Arial" w:eastAsia="Arial" w:hAnsi="Arial"/>
          <w:sz w:val="18"/>
          <w:szCs w:val="18"/>
          <w:color w:val="auto"/>
        </w:rPr>
        <w:t>•   Received complete response letter from U.S. FDA for our supplemental new drug application for patisiran, an investigational RNAi therapeutic for the treatment of ATTR amyloidosis with cardiomyopathy</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 Did not meet all early and mid-stage clinical pipeline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265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STOCKHOLDER RETURN</w:t>
      </w:r>
    </w:p>
    <w:p>
      <w:pPr>
        <w:spacing w:after="0" w:line="144" w:lineRule="exact"/>
        <w:rPr>
          <w:sz w:val="20"/>
          <w:szCs w:val="20"/>
          <w:color w:val="auto"/>
        </w:rPr>
      </w:pPr>
    </w:p>
    <w:p>
      <w:pPr>
        <w:ind w:left="740" w:right="140" w:hanging="269"/>
        <w:spacing w:after="0" w:line="271" w:lineRule="auto"/>
        <w:rPr>
          <w:sz w:val="20"/>
          <w:szCs w:val="20"/>
          <w:color w:val="auto"/>
        </w:rPr>
      </w:pPr>
      <w:r>
        <w:rPr>
          <w:rFonts w:ascii="Arial" w:cs="Arial" w:eastAsia="Arial" w:hAnsi="Arial"/>
          <w:sz w:val="18"/>
          <w:szCs w:val="18"/>
          <w:color w:val="auto"/>
        </w:rPr>
        <w:t>•   Our three-year total stockholder return (TSR) for fiscal years 2021-2023 was 47.27% and our five-year TSR for fiscal years 2019-2023 was 162.53%. Our one-year TSR for 2023 was -19.46%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238125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Components of our Executive Compensation Program</w:t>
      </w:r>
    </w:p>
    <w:p>
      <w:pPr>
        <w:spacing w:after="0" w:line="204" w:lineRule="exact"/>
        <w:rPr>
          <w:sz w:val="20"/>
          <w:szCs w:val="20"/>
          <w:color w:val="auto"/>
        </w:rPr>
      </w:pPr>
    </w:p>
    <w:p>
      <w:pPr>
        <w:ind w:left="120" w:right="20" w:firstLine="771"/>
        <w:spacing w:after="0" w:line="234" w:lineRule="auto"/>
        <w:rPr>
          <w:sz w:val="20"/>
          <w:szCs w:val="20"/>
          <w:color w:val="auto"/>
        </w:rPr>
      </w:pPr>
      <w:r>
        <w:rPr>
          <w:rFonts w:ascii="Arial" w:cs="Arial" w:eastAsia="Arial" w:hAnsi="Arial"/>
          <w:sz w:val="20"/>
          <w:szCs w:val="20"/>
          <w:color w:val="auto"/>
        </w:rPr>
        <w:t>The guiding principle of our executive compensation program is to provide a structure that allows us to attract and retain highly qualified executives and to motivate such executives to achieve clinical, business and financial goals that create long-term stockholder value in a manner consistent with our core business. Our executive compensation program consists of three components: base salary, short-term incentive in the form of an annual cash bonus, and long-term incentives in the form of 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Each Compensation Element Serves a Unique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31457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3145790"/>
                    </a:xfrm>
                    <a:prstGeom prst="rect">
                      <a:avLst/>
                    </a:prstGeom>
                    <a:noFill/>
                  </pic:spPr>
                </pic:pic>
              </a:graphicData>
            </a:graphic>
          </wp:anchor>
        </w:drawing>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1920" w:type="dxa"/>
            <w:vAlign w:val="bottom"/>
            <w:vMerge w:val="restart"/>
            <w:shd w:val="clear" w:color="auto" w:fill="1D3060"/>
          </w:tcPr>
          <w:p>
            <w:pPr>
              <w:ind w:left="480"/>
              <w:spacing w:after="0"/>
              <w:rPr>
                <w:sz w:val="20"/>
                <w:szCs w:val="20"/>
                <w:color w:val="auto"/>
              </w:rPr>
            </w:pPr>
            <w:r>
              <w:rPr>
                <w:rFonts w:ascii="Arial" w:cs="Arial" w:eastAsia="Arial" w:hAnsi="Arial"/>
                <w:sz w:val="16"/>
                <w:szCs w:val="16"/>
                <w:b w:val="1"/>
                <w:bCs w:val="1"/>
                <w:color w:val="FFFFFF"/>
              </w:rPr>
              <w:t>Pay Element</w:t>
            </w:r>
          </w:p>
        </w:tc>
        <w:tc>
          <w:tcPr>
            <w:tcW w:w="500" w:type="dxa"/>
            <w:vAlign w:val="bottom"/>
            <w:shd w:val="clear" w:color="auto" w:fill="1D3060"/>
          </w:tcPr>
          <w:p>
            <w:pPr>
              <w:jc w:val="center"/>
              <w:spacing w:after="0"/>
              <w:rPr>
                <w:sz w:val="20"/>
                <w:szCs w:val="20"/>
                <w:color w:val="auto"/>
              </w:rPr>
            </w:pPr>
            <w:r>
              <w:rPr>
                <w:rFonts w:ascii="Arial" w:cs="Arial" w:eastAsia="Arial" w:hAnsi="Arial"/>
                <w:sz w:val="16"/>
                <w:szCs w:val="16"/>
                <w:b w:val="1"/>
                <w:bCs w:val="1"/>
                <w:color w:val="FFFFFF"/>
                <w:w w:val="98"/>
              </w:rPr>
              <w:t>At-</w:t>
            </w:r>
          </w:p>
        </w:tc>
        <w:tc>
          <w:tcPr>
            <w:tcW w:w="4420" w:type="dxa"/>
            <w:vAlign w:val="bottom"/>
            <w:vMerge w:val="restart"/>
            <w:shd w:val="clear" w:color="auto" w:fill="1D3060"/>
          </w:tcPr>
          <w:p>
            <w:pPr>
              <w:ind w:left="1860"/>
              <w:spacing w:after="0"/>
              <w:rPr>
                <w:sz w:val="20"/>
                <w:szCs w:val="20"/>
                <w:color w:val="auto"/>
              </w:rPr>
            </w:pPr>
            <w:r>
              <w:rPr>
                <w:rFonts w:ascii="Arial" w:cs="Arial" w:eastAsia="Arial" w:hAnsi="Arial"/>
                <w:sz w:val="16"/>
                <w:szCs w:val="16"/>
                <w:b w:val="1"/>
                <w:bCs w:val="1"/>
                <w:color w:val="FFFFFF"/>
              </w:rPr>
              <w:t>Description</w:t>
            </w:r>
          </w:p>
        </w:tc>
        <w:tc>
          <w:tcPr>
            <w:tcW w:w="4180" w:type="dxa"/>
            <w:vAlign w:val="bottom"/>
            <w:vMerge w:val="restart"/>
            <w:shd w:val="clear" w:color="auto" w:fill="1D3060"/>
          </w:tcPr>
          <w:p>
            <w:pPr>
              <w:ind w:left="1760"/>
              <w:spacing w:after="0"/>
              <w:rPr>
                <w:sz w:val="20"/>
                <w:szCs w:val="20"/>
                <w:color w:val="auto"/>
              </w:rPr>
            </w:pPr>
            <w:r>
              <w:rPr>
                <w:rFonts w:ascii="Arial" w:cs="Arial" w:eastAsia="Arial" w:hAnsi="Arial"/>
                <w:sz w:val="16"/>
                <w:szCs w:val="16"/>
                <w:b w:val="1"/>
                <w:bCs w:val="1"/>
                <w:color w:val="FFFFFF"/>
              </w:rPr>
              <w:t>Rationale</w:t>
            </w:r>
          </w:p>
        </w:tc>
        <w:tc>
          <w:tcPr>
            <w:tcW w:w="0" w:type="dxa"/>
            <w:vAlign w:val="bottom"/>
          </w:tcPr>
          <w:p>
            <w:pPr>
              <w:spacing w:after="0"/>
              <w:rPr>
                <w:sz w:val="1"/>
                <w:szCs w:val="1"/>
                <w:color w:val="auto"/>
              </w:rPr>
            </w:pPr>
          </w:p>
        </w:tc>
      </w:tr>
      <w:tr>
        <w:trPr>
          <w:trHeight w:val="217"/>
        </w:trPr>
        <w:tc>
          <w:tcPr>
            <w:tcW w:w="1920" w:type="dxa"/>
            <w:vAlign w:val="bottom"/>
            <w:vMerge w:val="continue"/>
            <w:shd w:val="clear" w:color="auto" w:fill="1D3060"/>
          </w:tcPr>
          <w:p>
            <w:pPr>
              <w:spacing w:after="0"/>
              <w:rPr>
                <w:sz w:val="18"/>
                <w:szCs w:val="18"/>
                <w:color w:val="auto"/>
              </w:rPr>
            </w:pPr>
          </w:p>
        </w:tc>
        <w:tc>
          <w:tcPr>
            <w:tcW w:w="500" w:type="dxa"/>
            <w:vAlign w:val="bottom"/>
            <w:shd w:val="clear" w:color="auto" w:fill="1D3060"/>
          </w:tcPr>
          <w:p>
            <w:pPr>
              <w:jc w:val="center"/>
              <w:spacing w:after="0"/>
              <w:rPr>
                <w:sz w:val="20"/>
                <w:szCs w:val="20"/>
                <w:color w:val="auto"/>
              </w:rPr>
            </w:pPr>
            <w:r>
              <w:rPr>
                <w:rFonts w:ascii="Arial" w:cs="Arial" w:eastAsia="Arial" w:hAnsi="Arial"/>
                <w:sz w:val="16"/>
                <w:szCs w:val="16"/>
                <w:b w:val="1"/>
                <w:bCs w:val="1"/>
                <w:color w:val="FFFFFF"/>
              </w:rPr>
              <w:t>Risk?</w:t>
            </w:r>
          </w:p>
        </w:tc>
        <w:tc>
          <w:tcPr>
            <w:tcW w:w="4420" w:type="dxa"/>
            <w:vAlign w:val="bottom"/>
            <w:vMerge w:val="continue"/>
            <w:shd w:val="clear" w:color="auto" w:fill="1D3060"/>
          </w:tcPr>
          <w:p>
            <w:pPr>
              <w:spacing w:after="0"/>
              <w:rPr>
                <w:sz w:val="18"/>
                <w:szCs w:val="18"/>
                <w:color w:val="auto"/>
              </w:rPr>
            </w:pPr>
          </w:p>
        </w:tc>
        <w:tc>
          <w:tcPr>
            <w:tcW w:w="4180" w:type="dxa"/>
            <w:vAlign w:val="bottom"/>
            <w:vMerge w:val="continue"/>
            <w:shd w:val="clear" w:color="auto" w:fill="1D3060"/>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1D3060"/>
          </w:tcPr>
          <w:p>
            <w:pPr>
              <w:ind w:left="80"/>
              <w:spacing w:after="0"/>
              <w:rPr>
                <w:sz w:val="20"/>
                <w:szCs w:val="20"/>
                <w:color w:val="auto"/>
              </w:rPr>
            </w:pPr>
            <w:r>
              <w:rPr>
                <w:rFonts w:ascii="Arial" w:cs="Arial" w:eastAsia="Arial" w:hAnsi="Arial"/>
                <w:sz w:val="16"/>
                <w:szCs w:val="16"/>
                <w:b w:val="1"/>
                <w:bCs w:val="1"/>
                <w:color w:val="FFFFFF"/>
              </w:rPr>
              <w:t>Base Salary</w:t>
            </w:r>
          </w:p>
        </w:tc>
        <w:tc>
          <w:tcPr>
            <w:tcW w:w="500" w:type="dxa"/>
            <w:vAlign w:val="bottom"/>
            <w:shd w:val="clear" w:color="auto" w:fill="D7E8F5"/>
          </w:tcPr>
          <w:p>
            <w:pPr>
              <w:spacing w:after="0"/>
              <w:rPr>
                <w:sz w:val="19"/>
                <w:szCs w:val="19"/>
                <w:color w:val="auto"/>
              </w:rPr>
            </w:pPr>
          </w:p>
        </w:tc>
        <w:tc>
          <w:tcPr>
            <w:tcW w:w="4420" w:type="dxa"/>
            <w:vAlign w:val="bottom"/>
            <w:shd w:val="clear" w:color="auto" w:fill="D7E8F5"/>
          </w:tcPr>
          <w:p>
            <w:pPr>
              <w:ind w:left="220"/>
              <w:spacing w:after="0"/>
              <w:rPr>
                <w:sz w:val="20"/>
                <w:szCs w:val="20"/>
                <w:color w:val="auto"/>
              </w:rPr>
            </w:pPr>
            <w:r>
              <w:rPr>
                <w:rFonts w:ascii="Arial" w:cs="Arial" w:eastAsia="Arial" w:hAnsi="Arial"/>
                <w:sz w:val="16"/>
                <w:szCs w:val="16"/>
                <w:color w:val="auto"/>
              </w:rPr>
              <w:t>•   Fixed cash compensation targeted within range of the</w:t>
            </w:r>
          </w:p>
        </w:tc>
        <w:tc>
          <w:tcPr>
            <w:tcW w:w="4180" w:type="dxa"/>
            <w:vAlign w:val="bottom"/>
            <w:shd w:val="clear" w:color="auto" w:fill="D7E8F5"/>
          </w:tcPr>
          <w:p>
            <w:pPr>
              <w:ind w:left="100"/>
              <w:spacing w:after="0"/>
              <w:rPr>
                <w:sz w:val="20"/>
                <w:szCs w:val="20"/>
                <w:color w:val="auto"/>
              </w:rPr>
            </w:pPr>
            <w:r>
              <w:rPr>
                <w:rFonts w:ascii="Arial" w:cs="Arial" w:eastAsia="Arial" w:hAnsi="Arial"/>
                <w:sz w:val="16"/>
                <w:szCs w:val="16"/>
                <w:color w:val="auto"/>
              </w:rPr>
              <w:t>•   Attracts and rewards executives via market</w:t>
            </w:r>
          </w:p>
        </w:tc>
        <w:tc>
          <w:tcPr>
            <w:tcW w:w="0" w:type="dxa"/>
            <w:vAlign w:val="bottom"/>
          </w:tcPr>
          <w:p>
            <w:pPr>
              <w:spacing w:after="0"/>
              <w:rPr>
                <w:sz w:val="1"/>
                <w:szCs w:val="1"/>
                <w:color w:val="auto"/>
              </w:rPr>
            </w:pPr>
          </w:p>
        </w:tc>
      </w:tr>
      <w:tr>
        <w:trPr>
          <w:trHeight w:val="189"/>
        </w:trPr>
        <w:tc>
          <w:tcPr>
            <w:tcW w:w="1920" w:type="dxa"/>
            <w:vAlign w:val="bottom"/>
            <w:shd w:val="clear" w:color="auto" w:fill="1D3060"/>
          </w:tcPr>
          <w:p>
            <w:pPr>
              <w:spacing w:after="0"/>
              <w:rPr>
                <w:sz w:val="16"/>
                <w:szCs w:val="16"/>
                <w:color w:val="auto"/>
              </w:rPr>
            </w:pPr>
          </w:p>
        </w:tc>
        <w:tc>
          <w:tcPr>
            <w:tcW w:w="500" w:type="dxa"/>
            <w:vAlign w:val="bottom"/>
            <w:shd w:val="clear" w:color="auto" w:fill="D7E8F5"/>
          </w:tcPr>
          <w:p>
            <w:pPr>
              <w:spacing w:after="0"/>
              <w:rPr>
                <w:sz w:val="16"/>
                <w:szCs w:val="16"/>
                <w:color w:val="auto"/>
              </w:rPr>
            </w:pPr>
          </w:p>
        </w:tc>
        <w:tc>
          <w:tcPr>
            <w:tcW w:w="4420" w:type="dxa"/>
            <w:vAlign w:val="bottom"/>
            <w:shd w:val="clear" w:color="auto" w:fill="D7E8F5"/>
          </w:tcPr>
          <w:p>
            <w:pPr>
              <w:ind w:left="380"/>
              <w:spacing w:after="0"/>
              <w:rPr>
                <w:sz w:val="20"/>
                <w:szCs w:val="20"/>
                <w:color w:val="auto"/>
              </w:rPr>
            </w:pPr>
            <w:r>
              <w:rPr>
                <w:rFonts w:ascii="Arial" w:cs="Arial" w:eastAsia="Arial" w:hAnsi="Arial"/>
                <w:sz w:val="16"/>
                <w:szCs w:val="16"/>
                <w:color w:val="auto"/>
              </w:rPr>
              <w:t>market median, reflective of individual performance,</w:t>
            </w:r>
          </w:p>
        </w:tc>
        <w:tc>
          <w:tcPr>
            <w:tcW w:w="4180" w:type="dxa"/>
            <w:vAlign w:val="bottom"/>
            <w:shd w:val="clear" w:color="auto" w:fill="D7E8F5"/>
          </w:tcPr>
          <w:p>
            <w:pPr>
              <w:ind w:left="260"/>
              <w:spacing w:after="0"/>
              <w:rPr>
                <w:sz w:val="20"/>
                <w:szCs w:val="20"/>
                <w:color w:val="auto"/>
              </w:rPr>
            </w:pPr>
            <w:r>
              <w:rPr>
                <w:rFonts w:ascii="Arial" w:cs="Arial" w:eastAsia="Arial" w:hAnsi="Arial"/>
                <w:sz w:val="16"/>
                <w:szCs w:val="16"/>
                <w:color w:val="auto"/>
              </w:rPr>
              <w:t>competitive pay and industry norms and reflects</w:t>
            </w:r>
          </w:p>
        </w:tc>
        <w:tc>
          <w:tcPr>
            <w:tcW w:w="0" w:type="dxa"/>
            <w:vAlign w:val="bottom"/>
          </w:tcPr>
          <w:p>
            <w:pPr>
              <w:spacing w:after="0"/>
              <w:rPr>
                <w:sz w:val="1"/>
                <w:szCs w:val="1"/>
                <w:color w:val="auto"/>
              </w:rPr>
            </w:pPr>
          </w:p>
        </w:tc>
      </w:tr>
      <w:tr>
        <w:trPr>
          <w:trHeight w:val="215"/>
        </w:trPr>
        <w:tc>
          <w:tcPr>
            <w:tcW w:w="1920" w:type="dxa"/>
            <w:vAlign w:val="bottom"/>
            <w:shd w:val="clear" w:color="auto" w:fill="1D3060"/>
          </w:tcPr>
          <w:p>
            <w:pPr>
              <w:spacing w:after="0"/>
              <w:rPr>
                <w:sz w:val="18"/>
                <w:szCs w:val="18"/>
                <w:color w:val="auto"/>
              </w:rPr>
            </w:pPr>
          </w:p>
        </w:tc>
        <w:tc>
          <w:tcPr>
            <w:tcW w:w="500" w:type="dxa"/>
            <w:vAlign w:val="bottom"/>
            <w:shd w:val="clear" w:color="auto" w:fill="D7E8F5"/>
          </w:tcPr>
          <w:p>
            <w:pPr>
              <w:spacing w:after="0"/>
              <w:rPr>
                <w:sz w:val="18"/>
                <w:szCs w:val="18"/>
                <w:color w:val="auto"/>
              </w:rPr>
            </w:pPr>
          </w:p>
        </w:tc>
        <w:tc>
          <w:tcPr>
            <w:tcW w:w="4420" w:type="dxa"/>
            <w:vAlign w:val="bottom"/>
            <w:shd w:val="clear" w:color="auto" w:fill="D7E8F5"/>
          </w:tcPr>
          <w:p>
            <w:pPr>
              <w:ind w:left="380"/>
              <w:spacing w:after="0"/>
              <w:rPr>
                <w:sz w:val="20"/>
                <w:szCs w:val="20"/>
                <w:color w:val="auto"/>
              </w:rPr>
            </w:pPr>
            <w:r>
              <w:rPr>
                <w:rFonts w:ascii="Arial" w:cs="Arial" w:eastAsia="Arial" w:hAnsi="Arial"/>
                <w:sz w:val="16"/>
                <w:szCs w:val="16"/>
                <w:color w:val="auto"/>
              </w:rPr>
              <w:t>skills, experience and internal equity</w:t>
            </w:r>
          </w:p>
        </w:tc>
        <w:tc>
          <w:tcPr>
            <w:tcW w:w="4180" w:type="dxa"/>
            <w:vAlign w:val="bottom"/>
            <w:shd w:val="clear" w:color="auto" w:fill="D7E8F5"/>
          </w:tcPr>
          <w:p>
            <w:pPr>
              <w:ind w:left="260"/>
              <w:spacing w:after="0"/>
              <w:rPr>
                <w:sz w:val="20"/>
                <w:szCs w:val="20"/>
                <w:color w:val="auto"/>
              </w:rPr>
            </w:pPr>
            <w:r>
              <w:rPr>
                <w:rFonts w:ascii="Arial" w:cs="Arial" w:eastAsia="Arial" w:hAnsi="Arial"/>
                <w:sz w:val="16"/>
                <w:szCs w:val="16"/>
                <w:color w:val="auto"/>
              </w:rPr>
              <w:t>individual performance and experience</w:t>
            </w:r>
          </w:p>
        </w:tc>
        <w:tc>
          <w:tcPr>
            <w:tcW w:w="0" w:type="dxa"/>
            <w:vAlign w:val="bottom"/>
          </w:tcPr>
          <w:p>
            <w:pPr>
              <w:spacing w:after="0"/>
              <w:rPr>
                <w:sz w:val="1"/>
                <w:szCs w:val="1"/>
                <w:color w:val="auto"/>
              </w:rPr>
            </w:pPr>
          </w:p>
        </w:tc>
      </w:tr>
      <w:tr>
        <w:trPr>
          <w:trHeight w:val="352"/>
        </w:trPr>
        <w:tc>
          <w:tcPr>
            <w:tcW w:w="1920" w:type="dxa"/>
            <w:vAlign w:val="bottom"/>
            <w:shd w:val="clear" w:color="auto" w:fill="1D3060"/>
          </w:tcPr>
          <w:p>
            <w:pPr>
              <w:ind w:left="80"/>
              <w:spacing w:after="0"/>
              <w:rPr>
                <w:sz w:val="20"/>
                <w:szCs w:val="20"/>
                <w:color w:val="auto"/>
              </w:rPr>
            </w:pPr>
            <w:r>
              <w:rPr>
                <w:rFonts w:ascii="Arial" w:cs="Arial" w:eastAsia="Arial" w:hAnsi="Arial"/>
                <w:sz w:val="16"/>
                <w:szCs w:val="16"/>
                <w:b w:val="1"/>
                <w:bCs w:val="1"/>
                <w:color w:val="FFFFFF"/>
              </w:rPr>
              <w:t>Short-Term Cash</w:t>
            </w:r>
          </w:p>
        </w:tc>
        <w:tc>
          <w:tcPr>
            <w:tcW w:w="500" w:type="dxa"/>
            <w:vAlign w:val="bottom"/>
            <w:shd w:val="clear" w:color="auto" w:fill="D7E8F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4420" w:type="dxa"/>
            <w:vAlign w:val="bottom"/>
            <w:shd w:val="clear" w:color="auto" w:fill="D7E8F5"/>
          </w:tcPr>
          <w:p>
            <w:pPr>
              <w:ind w:left="220"/>
              <w:spacing w:after="0"/>
              <w:rPr>
                <w:sz w:val="20"/>
                <w:szCs w:val="20"/>
                <w:color w:val="auto"/>
              </w:rPr>
            </w:pPr>
            <w:r>
              <w:rPr>
                <w:rFonts w:ascii="Arial" w:cs="Arial" w:eastAsia="Arial" w:hAnsi="Arial"/>
                <w:sz w:val="16"/>
                <w:szCs w:val="16"/>
                <w:color w:val="auto"/>
              </w:rPr>
              <w:t>•   Annual performance against pre-established goals</w:t>
            </w:r>
          </w:p>
        </w:tc>
        <w:tc>
          <w:tcPr>
            <w:tcW w:w="4180" w:type="dxa"/>
            <w:vAlign w:val="bottom"/>
            <w:shd w:val="clear" w:color="auto" w:fill="D7E8F5"/>
          </w:tcPr>
          <w:p>
            <w:pPr>
              <w:ind w:left="100"/>
              <w:spacing w:after="0"/>
              <w:rPr>
                <w:sz w:val="20"/>
                <w:szCs w:val="20"/>
                <w:color w:val="auto"/>
              </w:rPr>
            </w:pPr>
            <w:r>
              <w:rPr>
                <w:rFonts w:ascii="Arial" w:cs="Arial" w:eastAsia="Arial" w:hAnsi="Arial"/>
                <w:sz w:val="16"/>
                <w:szCs w:val="16"/>
                <w:color w:val="auto"/>
              </w:rPr>
              <w:t>•   Drives company-wide performance</w:t>
            </w:r>
          </w:p>
        </w:tc>
        <w:tc>
          <w:tcPr>
            <w:tcW w:w="0" w:type="dxa"/>
            <w:vAlign w:val="bottom"/>
          </w:tcPr>
          <w:p>
            <w:pPr>
              <w:spacing w:after="0"/>
              <w:rPr>
                <w:sz w:val="1"/>
                <w:szCs w:val="1"/>
                <w:color w:val="auto"/>
              </w:rPr>
            </w:pPr>
          </w:p>
        </w:tc>
      </w:tr>
      <w:tr>
        <w:trPr>
          <w:trHeight w:val="223"/>
        </w:trPr>
        <w:tc>
          <w:tcPr>
            <w:tcW w:w="1920" w:type="dxa"/>
            <w:vAlign w:val="bottom"/>
            <w:shd w:val="clear" w:color="auto" w:fill="1D3060"/>
          </w:tcPr>
          <w:p>
            <w:pPr>
              <w:ind w:left="80"/>
              <w:spacing w:after="0"/>
              <w:rPr>
                <w:sz w:val="20"/>
                <w:szCs w:val="20"/>
                <w:color w:val="auto"/>
              </w:rPr>
            </w:pPr>
            <w:r>
              <w:rPr>
                <w:rFonts w:ascii="Arial" w:cs="Arial" w:eastAsia="Arial" w:hAnsi="Arial"/>
                <w:sz w:val="16"/>
                <w:szCs w:val="16"/>
                <w:b w:val="1"/>
                <w:bCs w:val="1"/>
                <w:color w:val="FFFFFF"/>
              </w:rPr>
              <w:t>Incentives</w:t>
            </w:r>
          </w:p>
        </w:tc>
        <w:tc>
          <w:tcPr>
            <w:tcW w:w="500" w:type="dxa"/>
            <w:vAlign w:val="bottom"/>
            <w:shd w:val="clear" w:color="auto" w:fill="D7E8F5"/>
          </w:tcPr>
          <w:p>
            <w:pPr>
              <w:spacing w:after="0"/>
              <w:rPr>
                <w:sz w:val="19"/>
                <w:szCs w:val="19"/>
                <w:color w:val="auto"/>
              </w:rPr>
            </w:pPr>
          </w:p>
        </w:tc>
        <w:tc>
          <w:tcPr>
            <w:tcW w:w="4420" w:type="dxa"/>
            <w:vAlign w:val="bottom"/>
            <w:vMerge w:val="restart"/>
            <w:shd w:val="clear" w:color="auto" w:fill="D7E8F5"/>
          </w:tcPr>
          <w:p>
            <w:pPr>
              <w:ind w:left="220"/>
              <w:spacing w:after="0"/>
              <w:rPr>
                <w:sz w:val="20"/>
                <w:szCs w:val="20"/>
                <w:color w:val="auto"/>
              </w:rPr>
            </w:pPr>
            <w:r>
              <w:rPr>
                <w:rFonts w:ascii="Arial" w:cs="Arial" w:eastAsia="Arial" w:hAnsi="Arial"/>
                <w:sz w:val="16"/>
                <w:szCs w:val="16"/>
                <w:color w:val="auto"/>
              </w:rPr>
              <w:t>•   Payouts earned only if corporate performance exceeds</w:t>
            </w:r>
          </w:p>
        </w:tc>
        <w:tc>
          <w:tcPr>
            <w:tcW w:w="4180" w:type="dxa"/>
            <w:vAlign w:val="bottom"/>
            <w:vMerge w:val="restart"/>
            <w:shd w:val="clear" w:color="auto" w:fill="D7E8F5"/>
          </w:tcPr>
          <w:p>
            <w:pPr>
              <w:ind w:left="100"/>
              <w:spacing w:after="0"/>
              <w:rPr>
                <w:sz w:val="20"/>
                <w:szCs w:val="20"/>
                <w:color w:val="auto"/>
              </w:rPr>
            </w:pPr>
            <w:r>
              <w:rPr>
                <w:rFonts w:ascii="Arial" w:cs="Arial" w:eastAsia="Arial" w:hAnsi="Arial"/>
                <w:sz w:val="16"/>
                <w:szCs w:val="16"/>
                <w:color w:val="auto"/>
              </w:rPr>
              <w:t>•   Rewards achievement against pre-established goals</w:t>
            </w:r>
          </w:p>
        </w:tc>
        <w:tc>
          <w:tcPr>
            <w:tcW w:w="0" w:type="dxa"/>
            <w:vAlign w:val="bottom"/>
          </w:tcPr>
          <w:p>
            <w:pPr>
              <w:spacing w:after="0"/>
              <w:rPr>
                <w:sz w:val="1"/>
                <w:szCs w:val="1"/>
                <w:color w:val="auto"/>
              </w:rPr>
            </w:pPr>
          </w:p>
        </w:tc>
      </w:tr>
      <w:tr>
        <w:trPr>
          <w:trHeight w:val="88"/>
        </w:trPr>
        <w:tc>
          <w:tcPr>
            <w:tcW w:w="1920" w:type="dxa"/>
            <w:vAlign w:val="bottom"/>
            <w:shd w:val="clear" w:color="auto" w:fill="1D3060"/>
          </w:tcPr>
          <w:p>
            <w:pPr>
              <w:spacing w:after="0"/>
              <w:rPr>
                <w:sz w:val="7"/>
                <w:szCs w:val="7"/>
                <w:color w:val="auto"/>
              </w:rPr>
            </w:pPr>
          </w:p>
        </w:tc>
        <w:tc>
          <w:tcPr>
            <w:tcW w:w="500" w:type="dxa"/>
            <w:vAlign w:val="bottom"/>
            <w:shd w:val="clear" w:color="auto" w:fill="D7E8F5"/>
          </w:tcPr>
          <w:p>
            <w:pPr>
              <w:spacing w:after="0"/>
              <w:rPr>
                <w:sz w:val="7"/>
                <w:szCs w:val="7"/>
                <w:color w:val="auto"/>
              </w:rPr>
            </w:pPr>
          </w:p>
        </w:tc>
        <w:tc>
          <w:tcPr>
            <w:tcW w:w="4420" w:type="dxa"/>
            <w:vAlign w:val="bottom"/>
            <w:vMerge w:val="continue"/>
            <w:shd w:val="clear" w:color="auto" w:fill="D7E8F5"/>
          </w:tcPr>
          <w:p>
            <w:pPr>
              <w:spacing w:after="0"/>
              <w:rPr>
                <w:sz w:val="7"/>
                <w:szCs w:val="7"/>
                <w:color w:val="auto"/>
              </w:rPr>
            </w:pPr>
          </w:p>
        </w:tc>
        <w:tc>
          <w:tcPr>
            <w:tcW w:w="4180" w:type="dxa"/>
            <w:vAlign w:val="bottom"/>
            <w:vMerge w:val="continue"/>
            <w:shd w:val="clear" w:color="auto" w:fill="D7E8F5"/>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1D3060"/>
          </w:tcPr>
          <w:p>
            <w:pPr>
              <w:spacing w:after="0"/>
              <w:rPr>
                <w:sz w:val="18"/>
                <w:szCs w:val="18"/>
                <w:color w:val="auto"/>
              </w:rPr>
            </w:pPr>
          </w:p>
        </w:tc>
        <w:tc>
          <w:tcPr>
            <w:tcW w:w="500" w:type="dxa"/>
            <w:vAlign w:val="bottom"/>
            <w:shd w:val="clear" w:color="auto" w:fill="D7E8F5"/>
          </w:tcPr>
          <w:p>
            <w:pPr>
              <w:spacing w:after="0"/>
              <w:rPr>
                <w:sz w:val="18"/>
                <w:szCs w:val="18"/>
                <w:color w:val="auto"/>
              </w:rPr>
            </w:pPr>
          </w:p>
        </w:tc>
        <w:tc>
          <w:tcPr>
            <w:tcW w:w="4420" w:type="dxa"/>
            <w:vAlign w:val="bottom"/>
            <w:shd w:val="clear" w:color="auto" w:fill="D7E8F5"/>
          </w:tcPr>
          <w:p>
            <w:pPr>
              <w:ind w:left="380"/>
              <w:spacing w:after="0"/>
              <w:rPr>
                <w:sz w:val="20"/>
                <w:szCs w:val="20"/>
                <w:color w:val="auto"/>
              </w:rPr>
            </w:pPr>
            <w:r>
              <w:rPr>
                <w:rFonts w:ascii="Arial" w:cs="Arial" w:eastAsia="Arial" w:hAnsi="Arial"/>
                <w:sz w:val="16"/>
                <w:szCs w:val="16"/>
                <w:color w:val="auto"/>
              </w:rPr>
              <w:t>50% of preset targets</w:t>
            </w:r>
          </w:p>
        </w:tc>
        <w:tc>
          <w:tcPr>
            <w:tcW w:w="4180" w:type="dxa"/>
            <w:vAlign w:val="bottom"/>
            <w:vMerge w:val="restart"/>
            <w:shd w:val="clear" w:color="auto" w:fill="D7E8F5"/>
          </w:tcPr>
          <w:p>
            <w:pPr>
              <w:ind w:left="100"/>
              <w:spacing w:after="0"/>
              <w:rPr>
                <w:sz w:val="20"/>
                <w:szCs w:val="20"/>
                <w:color w:val="auto"/>
              </w:rPr>
            </w:pPr>
            <w:r>
              <w:rPr>
                <w:rFonts w:ascii="Arial" w:cs="Arial" w:eastAsia="Arial" w:hAnsi="Arial"/>
                <w:sz w:val="16"/>
                <w:szCs w:val="16"/>
                <w:color w:val="auto"/>
              </w:rPr>
              <w:t>•   Motivates executives to achieve performance</w:t>
            </w:r>
          </w:p>
        </w:tc>
        <w:tc>
          <w:tcPr>
            <w:tcW w:w="0" w:type="dxa"/>
            <w:vAlign w:val="bottom"/>
          </w:tcPr>
          <w:p>
            <w:pPr>
              <w:spacing w:after="0"/>
              <w:rPr>
                <w:sz w:val="1"/>
                <w:szCs w:val="1"/>
                <w:color w:val="auto"/>
              </w:rPr>
            </w:pPr>
          </w:p>
        </w:tc>
      </w:tr>
      <w:tr>
        <w:trPr>
          <w:trHeight w:val="96"/>
        </w:trPr>
        <w:tc>
          <w:tcPr>
            <w:tcW w:w="1920" w:type="dxa"/>
            <w:vAlign w:val="bottom"/>
            <w:shd w:val="clear" w:color="auto" w:fill="1D3060"/>
          </w:tcPr>
          <w:p>
            <w:pPr>
              <w:spacing w:after="0"/>
              <w:rPr>
                <w:sz w:val="8"/>
                <w:szCs w:val="8"/>
                <w:color w:val="auto"/>
              </w:rPr>
            </w:pPr>
          </w:p>
        </w:tc>
        <w:tc>
          <w:tcPr>
            <w:tcW w:w="500" w:type="dxa"/>
            <w:vAlign w:val="bottom"/>
            <w:shd w:val="clear" w:color="auto" w:fill="D7E8F5"/>
          </w:tcPr>
          <w:p>
            <w:pPr>
              <w:spacing w:after="0"/>
              <w:rPr>
                <w:sz w:val="8"/>
                <w:szCs w:val="8"/>
                <w:color w:val="auto"/>
              </w:rPr>
            </w:pPr>
          </w:p>
        </w:tc>
        <w:tc>
          <w:tcPr>
            <w:tcW w:w="4420" w:type="dxa"/>
            <w:vAlign w:val="bottom"/>
            <w:shd w:val="clear" w:color="auto" w:fill="D7E8F5"/>
          </w:tcPr>
          <w:p>
            <w:pPr>
              <w:spacing w:after="0"/>
              <w:rPr>
                <w:sz w:val="8"/>
                <w:szCs w:val="8"/>
                <w:color w:val="auto"/>
              </w:rPr>
            </w:pPr>
          </w:p>
        </w:tc>
        <w:tc>
          <w:tcPr>
            <w:tcW w:w="4180" w:type="dxa"/>
            <w:vAlign w:val="bottom"/>
            <w:vMerge w:val="continue"/>
            <w:shd w:val="clear" w:color="auto" w:fill="D7E8F5"/>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1D3060"/>
          </w:tcPr>
          <w:p>
            <w:pPr>
              <w:spacing w:after="0"/>
              <w:rPr>
                <w:sz w:val="16"/>
                <w:szCs w:val="16"/>
                <w:color w:val="auto"/>
              </w:rPr>
            </w:pPr>
          </w:p>
        </w:tc>
        <w:tc>
          <w:tcPr>
            <w:tcW w:w="500" w:type="dxa"/>
            <w:vAlign w:val="bottom"/>
            <w:shd w:val="clear" w:color="auto" w:fill="D7E8F5"/>
          </w:tcPr>
          <w:p>
            <w:pPr>
              <w:spacing w:after="0"/>
              <w:rPr>
                <w:sz w:val="16"/>
                <w:szCs w:val="16"/>
                <w:color w:val="auto"/>
              </w:rPr>
            </w:pPr>
          </w:p>
        </w:tc>
        <w:tc>
          <w:tcPr>
            <w:tcW w:w="4420" w:type="dxa"/>
            <w:vAlign w:val="bottom"/>
            <w:shd w:val="clear" w:color="auto" w:fill="D7E8F5"/>
          </w:tcPr>
          <w:p>
            <w:pPr>
              <w:ind w:left="220"/>
              <w:spacing w:after="0"/>
              <w:rPr>
                <w:sz w:val="20"/>
                <w:szCs w:val="20"/>
                <w:color w:val="auto"/>
              </w:rPr>
            </w:pPr>
            <w:r>
              <w:rPr>
                <w:rFonts w:ascii="Arial" w:cs="Arial" w:eastAsia="Arial" w:hAnsi="Arial"/>
                <w:sz w:val="16"/>
                <w:szCs w:val="16"/>
                <w:color w:val="auto"/>
              </w:rPr>
              <w:t>•   Awards capped at 150% of preset targets</w:t>
            </w:r>
          </w:p>
        </w:tc>
        <w:tc>
          <w:tcPr>
            <w:tcW w:w="4180" w:type="dxa"/>
            <w:vAlign w:val="bottom"/>
            <w:shd w:val="clear" w:color="auto" w:fill="D7E8F5"/>
          </w:tcPr>
          <w:p>
            <w:pPr>
              <w:ind w:left="260"/>
              <w:spacing w:after="0"/>
              <w:rPr>
                <w:sz w:val="20"/>
                <w:szCs w:val="20"/>
                <w:color w:val="auto"/>
              </w:rPr>
            </w:pPr>
            <w:r>
              <w:rPr>
                <w:rFonts w:ascii="Arial" w:cs="Arial" w:eastAsia="Arial" w:hAnsi="Arial"/>
                <w:sz w:val="16"/>
                <w:szCs w:val="16"/>
                <w:color w:val="auto"/>
              </w:rPr>
              <w:t>objectives that are key to our annual operating and</w:t>
            </w:r>
          </w:p>
        </w:tc>
        <w:tc>
          <w:tcPr>
            <w:tcW w:w="0" w:type="dxa"/>
            <w:vAlign w:val="bottom"/>
          </w:tcPr>
          <w:p>
            <w:pPr>
              <w:spacing w:after="0"/>
              <w:rPr>
                <w:sz w:val="1"/>
                <w:szCs w:val="1"/>
                <w:color w:val="auto"/>
              </w:rPr>
            </w:pPr>
          </w:p>
        </w:tc>
      </w:tr>
      <w:tr>
        <w:trPr>
          <w:trHeight w:val="215"/>
        </w:trPr>
        <w:tc>
          <w:tcPr>
            <w:tcW w:w="1920" w:type="dxa"/>
            <w:vAlign w:val="bottom"/>
            <w:shd w:val="clear" w:color="auto" w:fill="1D3060"/>
          </w:tcPr>
          <w:p>
            <w:pPr>
              <w:spacing w:after="0"/>
              <w:rPr>
                <w:sz w:val="18"/>
                <w:szCs w:val="18"/>
                <w:color w:val="auto"/>
              </w:rPr>
            </w:pPr>
          </w:p>
        </w:tc>
        <w:tc>
          <w:tcPr>
            <w:tcW w:w="500" w:type="dxa"/>
            <w:vAlign w:val="bottom"/>
            <w:shd w:val="clear" w:color="auto" w:fill="D7E8F5"/>
          </w:tcPr>
          <w:p>
            <w:pPr>
              <w:spacing w:after="0"/>
              <w:rPr>
                <w:sz w:val="18"/>
                <w:szCs w:val="18"/>
                <w:color w:val="auto"/>
              </w:rPr>
            </w:pPr>
          </w:p>
        </w:tc>
        <w:tc>
          <w:tcPr>
            <w:tcW w:w="4420" w:type="dxa"/>
            <w:vAlign w:val="bottom"/>
            <w:shd w:val="clear" w:color="auto" w:fill="D7E8F5"/>
          </w:tcPr>
          <w:p>
            <w:pPr>
              <w:spacing w:after="0"/>
              <w:rPr>
                <w:sz w:val="18"/>
                <w:szCs w:val="18"/>
                <w:color w:val="auto"/>
              </w:rPr>
            </w:pPr>
          </w:p>
        </w:tc>
        <w:tc>
          <w:tcPr>
            <w:tcW w:w="4180" w:type="dxa"/>
            <w:vAlign w:val="bottom"/>
            <w:shd w:val="clear" w:color="auto" w:fill="D7E8F5"/>
          </w:tcPr>
          <w:p>
            <w:pPr>
              <w:ind w:left="260"/>
              <w:spacing w:after="0"/>
              <w:rPr>
                <w:sz w:val="20"/>
                <w:szCs w:val="20"/>
                <w:color w:val="auto"/>
              </w:rPr>
            </w:pPr>
            <w:r>
              <w:rPr>
                <w:rFonts w:ascii="Arial" w:cs="Arial" w:eastAsia="Arial" w:hAnsi="Arial"/>
                <w:sz w:val="16"/>
                <w:szCs w:val="16"/>
                <w:color w:val="auto"/>
              </w:rPr>
              <w:t>strategic plans</w:t>
            </w:r>
          </w:p>
        </w:tc>
        <w:tc>
          <w:tcPr>
            <w:tcW w:w="0" w:type="dxa"/>
            <w:vAlign w:val="bottom"/>
          </w:tcPr>
          <w:p>
            <w:pPr>
              <w:spacing w:after="0"/>
              <w:rPr>
                <w:sz w:val="1"/>
                <w:szCs w:val="1"/>
                <w:color w:val="auto"/>
              </w:rPr>
            </w:pPr>
          </w:p>
        </w:tc>
      </w:tr>
      <w:tr>
        <w:trPr>
          <w:trHeight w:val="310"/>
        </w:trPr>
        <w:tc>
          <w:tcPr>
            <w:tcW w:w="1920" w:type="dxa"/>
            <w:vAlign w:val="bottom"/>
            <w:shd w:val="clear" w:color="auto" w:fill="1D3060"/>
          </w:tcPr>
          <w:p>
            <w:pPr>
              <w:spacing w:after="0"/>
              <w:rPr>
                <w:sz w:val="24"/>
                <w:szCs w:val="24"/>
                <w:color w:val="auto"/>
              </w:rPr>
            </w:pPr>
          </w:p>
        </w:tc>
        <w:tc>
          <w:tcPr>
            <w:tcW w:w="500" w:type="dxa"/>
            <w:vAlign w:val="bottom"/>
            <w:shd w:val="clear" w:color="auto" w:fill="D7E8F5"/>
          </w:tcPr>
          <w:p>
            <w:pPr>
              <w:spacing w:after="0"/>
              <w:rPr>
                <w:sz w:val="24"/>
                <w:szCs w:val="24"/>
                <w:color w:val="auto"/>
              </w:rPr>
            </w:pPr>
          </w:p>
        </w:tc>
        <w:tc>
          <w:tcPr>
            <w:tcW w:w="4420" w:type="dxa"/>
            <w:vAlign w:val="bottom"/>
            <w:shd w:val="clear" w:color="auto" w:fill="D7E8F5"/>
          </w:tcPr>
          <w:p>
            <w:pPr>
              <w:spacing w:after="0"/>
              <w:rPr>
                <w:sz w:val="24"/>
                <w:szCs w:val="24"/>
                <w:color w:val="auto"/>
              </w:rPr>
            </w:pPr>
          </w:p>
        </w:tc>
        <w:tc>
          <w:tcPr>
            <w:tcW w:w="4180" w:type="dxa"/>
            <w:vAlign w:val="bottom"/>
            <w:shd w:val="clear" w:color="auto" w:fill="D7E8F5"/>
          </w:tcPr>
          <w:p>
            <w:pPr>
              <w:ind w:left="100"/>
              <w:spacing w:after="0"/>
              <w:rPr>
                <w:sz w:val="20"/>
                <w:szCs w:val="20"/>
                <w:color w:val="auto"/>
              </w:rPr>
            </w:pPr>
            <w:r>
              <w:rPr>
                <w:rFonts w:ascii="Arial" w:cs="Arial" w:eastAsia="Arial" w:hAnsi="Arial"/>
                <w:sz w:val="16"/>
                <w:szCs w:val="16"/>
                <w:color w:val="auto"/>
              </w:rPr>
              <w:t>•   Aligns executive and stockholder interests</w:t>
            </w:r>
          </w:p>
        </w:tc>
        <w:tc>
          <w:tcPr>
            <w:tcW w:w="0" w:type="dxa"/>
            <w:vAlign w:val="bottom"/>
          </w:tcPr>
          <w:p>
            <w:pPr>
              <w:spacing w:after="0"/>
              <w:rPr>
                <w:sz w:val="1"/>
                <w:szCs w:val="1"/>
                <w:color w:val="auto"/>
              </w:rPr>
            </w:pPr>
          </w:p>
        </w:tc>
      </w:tr>
      <w:tr>
        <w:trPr>
          <w:trHeight w:val="352"/>
        </w:trPr>
        <w:tc>
          <w:tcPr>
            <w:tcW w:w="1920" w:type="dxa"/>
            <w:vAlign w:val="bottom"/>
            <w:shd w:val="clear" w:color="auto" w:fill="1D3060"/>
          </w:tcPr>
          <w:p>
            <w:pPr>
              <w:ind w:left="80"/>
              <w:spacing w:after="0"/>
              <w:rPr>
                <w:sz w:val="20"/>
                <w:szCs w:val="20"/>
                <w:color w:val="auto"/>
              </w:rPr>
            </w:pPr>
            <w:r>
              <w:rPr>
                <w:rFonts w:ascii="Arial" w:cs="Arial" w:eastAsia="Arial" w:hAnsi="Arial"/>
                <w:sz w:val="16"/>
                <w:szCs w:val="16"/>
                <w:b w:val="1"/>
                <w:bCs w:val="1"/>
                <w:color w:val="FFFFFF"/>
              </w:rPr>
              <w:t>Long-Term Equity</w:t>
            </w:r>
          </w:p>
        </w:tc>
        <w:tc>
          <w:tcPr>
            <w:tcW w:w="500" w:type="dxa"/>
            <w:vAlign w:val="bottom"/>
            <w:shd w:val="clear" w:color="auto" w:fill="D7E8F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4420" w:type="dxa"/>
            <w:vAlign w:val="bottom"/>
            <w:shd w:val="clear" w:color="auto" w:fill="D7E8F5"/>
          </w:tcPr>
          <w:p>
            <w:pPr>
              <w:ind w:left="220"/>
              <w:spacing w:after="0"/>
              <w:rPr>
                <w:sz w:val="20"/>
                <w:szCs w:val="20"/>
                <w:color w:val="auto"/>
              </w:rPr>
            </w:pPr>
            <w:r>
              <w:rPr>
                <w:rFonts w:ascii="Arial" w:cs="Arial" w:eastAsia="Arial" w:hAnsi="Arial"/>
                <w:sz w:val="16"/>
                <w:szCs w:val="16"/>
                <w:color w:val="auto"/>
              </w:rPr>
              <w:t>•   Grant date value split 50% PSUs, 25% RSUs and 25%</w:t>
            </w:r>
          </w:p>
        </w:tc>
        <w:tc>
          <w:tcPr>
            <w:tcW w:w="4180" w:type="dxa"/>
            <w:vAlign w:val="bottom"/>
            <w:shd w:val="clear" w:color="auto" w:fill="D7E8F5"/>
          </w:tcPr>
          <w:p>
            <w:pPr>
              <w:ind w:left="100"/>
              <w:spacing w:after="0"/>
              <w:rPr>
                <w:sz w:val="20"/>
                <w:szCs w:val="20"/>
                <w:color w:val="auto"/>
              </w:rPr>
            </w:pPr>
            <w:r>
              <w:rPr>
                <w:rFonts w:ascii="Arial" w:cs="Arial" w:eastAsia="Arial" w:hAnsi="Arial"/>
                <w:sz w:val="16"/>
                <w:szCs w:val="16"/>
                <w:color w:val="auto"/>
              </w:rPr>
              <w:t>•   Motivates executives to deliver sustained long-term</w:t>
            </w:r>
          </w:p>
        </w:tc>
        <w:tc>
          <w:tcPr>
            <w:tcW w:w="0" w:type="dxa"/>
            <w:vAlign w:val="bottom"/>
          </w:tcPr>
          <w:p>
            <w:pPr>
              <w:spacing w:after="0"/>
              <w:rPr>
                <w:sz w:val="1"/>
                <w:szCs w:val="1"/>
                <w:color w:val="auto"/>
              </w:rPr>
            </w:pPr>
          </w:p>
        </w:tc>
      </w:tr>
      <w:tr>
        <w:trPr>
          <w:trHeight w:val="223"/>
        </w:trPr>
        <w:tc>
          <w:tcPr>
            <w:tcW w:w="1920" w:type="dxa"/>
            <w:vAlign w:val="bottom"/>
            <w:shd w:val="clear" w:color="auto" w:fill="1D3060"/>
          </w:tcPr>
          <w:p>
            <w:pPr>
              <w:ind w:left="80"/>
              <w:spacing w:after="0"/>
              <w:rPr>
                <w:sz w:val="20"/>
                <w:szCs w:val="20"/>
                <w:color w:val="auto"/>
              </w:rPr>
            </w:pPr>
            <w:r>
              <w:rPr>
                <w:rFonts w:ascii="Arial" w:cs="Arial" w:eastAsia="Arial" w:hAnsi="Arial"/>
                <w:sz w:val="16"/>
                <w:szCs w:val="16"/>
                <w:b w:val="1"/>
                <w:bCs w:val="1"/>
                <w:color w:val="FFFFFF"/>
              </w:rPr>
              <w:t>Incentives</w:t>
            </w:r>
          </w:p>
        </w:tc>
        <w:tc>
          <w:tcPr>
            <w:tcW w:w="500" w:type="dxa"/>
            <w:vAlign w:val="bottom"/>
            <w:shd w:val="clear" w:color="auto" w:fill="D7E8F5"/>
          </w:tcPr>
          <w:p>
            <w:pPr>
              <w:spacing w:after="0"/>
              <w:rPr>
                <w:sz w:val="19"/>
                <w:szCs w:val="19"/>
                <w:color w:val="auto"/>
              </w:rPr>
            </w:pPr>
          </w:p>
        </w:tc>
        <w:tc>
          <w:tcPr>
            <w:tcW w:w="4420" w:type="dxa"/>
            <w:vAlign w:val="bottom"/>
            <w:shd w:val="clear" w:color="auto" w:fill="D7E8F5"/>
          </w:tcPr>
          <w:p>
            <w:pPr>
              <w:ind w:left="380"/>
              <w:spacing w:after="0"/>
              <w:rPr>
                <w:sz w:val="20"/>
                <w:szCs w:val="20"/>
                <w:color w:val="auto"/>
              </w:rPr>
            </w:pPr>
            <w:r>
              <w:rPr>
                <w:rFonts w:ascii="Arial" w:cs="Arial" w:eastAsia="Arial" w:hAnsi="Arial"/>
                <w:sz w:val="16"/>
                <w:szCs w:val="16"/>
                <w:color w:val="auto"/>
              </w:rPr>
              <w:t>stock options</w:t>
            </w:r>
          </w:p>
        </w:tc>
        <w:tc>
          <w:tcPr>
            <w:tcW w:w="4180" w:type="dxa"/>
            <w:vAlign w:val="bottom"/>
            <w:shd w:val="clear" w:color="auto" w:fill="D7E8F5"/>
          </w:tcPr>
          <w:p>
            <w:pPr>
              <w:ind w:left="260"/>
              <w:spacing w:after="0"/>
              <w:rPr>
                <w:sz w:val="20"/>
                <w:szCs w:val="20"/>
                <w:color w:val="auto"/>
              </w:rPr>
            </w:pPr>
            <w:r>
              <w:rPr>
                <w:rFonts w:ascii="Arial" w:cs="Arial" w:eastAsia="Arial" w:hAnsi="Arial"/>
                <w:sz w:val="16"/>
                <w:szCs w:val="16"/>
                <w:color w:val="auto"/>
              </w:rPr>
              <w:t>growth by achieving multi-year strategic objectives</w:t>
            </w:r>
          </w:p>
        </w:tc>
        <w:tc>
          <w:tcPr>
            <w:tcW w:w="0" w:type="dxa"/>
            <w:vAlign w:val="bottom"/>
          </w:tcPr>
          <w:p>
            <w:pPr>
              <w:spacing w:after="0"/>
              <w:rPr>
                <w:sz w:val="1"/>
                <w:szCs w:val="1"/>
                <w:color w:val="auto"/>
              </w:rPr>
            </w:pPr>
          </w:p>
        </w:tc>
      </w:tr>
      <w:tr>
        <w:trPr>
          <w:trHeight w:val="277"/>
        </w:trPr>
        <w:tc>
          <w:tcPr>
            <w:tcW w:w="1920" w:type="dxa"/>
            <w:vAlign w:val="bottom"/>
            <w:shd w:val="clear" w:color="auto" w:fill="1D3060"/>
          </w:tcPr>
          <w:p>
            <w:pPr>
              <w:spacing w:after="0"/>
              <w:rPr>
                <w:sz w:val="24"/>
                <w:szCs w:val="24"/>
                <w:color w:val="auto"/>
              </w:rPr>
            </w:pPr>
          </w:p>
        </w:tc>
        <w:tc>
          <w:tcPr>
            <w:tcW w:w="500" w:type="dxa"/>
            <w:vAlign w:val="bottom"/>
            <w:shd w:val="clear" w:color="auto" w:fill="D7E8F5"/>
          </w:tcPr>
          <w:p>
            <w:pPr>
              <w:spacing w:after="0"/>
              <w:rPr>
                <w:sz w:val="24"/>
                <w:szCs w:val="24"/>
                <w:color w:val="auto"/>
              </w:rPr>
            </w:pPr>
          </w:p>
        </w:tc>
        <w:tc>
          <w:tcPr>
            <w:tcW w:w="4420" w:type="dxa"/>
            <w:vAlign w:val="bottom"/>
            <w:shd w:val="clear" w:color="auto" w:fill="D7E8F5"/>
          </w:tcPr>
          <w:p>
            <w:pPr>
              <w:ind w:left="220"/>
              <w:spacing w:after="0"/>
              <w:rPr>
                <w:sz w:val="20"/>
                <w:szCs w:val="20"/>
                <w:color w:val="auto"/>
              </w:rPr>
            </w:pPr>
            <w:r>
              <w:rPr>
                <w:rFonts w:ascii="Arial" w:cs="Arial" w:eastAsia="Arial" w:hAnsi="Arial"/>
                <w:sz w:val="16"/>
                <w:szCs w:val="16"/>
                <w:color w:val="auto"/>
              </w:rPr>
              <w:t>•   PSUs only vest upon successful achievement of</w:t>
            </w:r>
          </w:p>
        </w:tc>
        <w:tc>
          <w:tcPr>
            <w:tcW w:w="4180" w:type="dxa"/>
            <w:vAlign w:val="bottom"/>
            <w:shd w:val="clear" w:color="auto" w:fill="D7E8F5"/>
          </w:tcPr>
          <w:p>
            <w:pPr>
              <w:ind w:left="100"/>
              <w:spacing w:after="0"/>
              <w:rPr>
                <w:sz w:val="20"/>
                <w:szCs w:val="20"/>
                <w:color w:val="auto"/>
              </w:rPr>
            </w:pPr>
            <w:r>
              <w:rPr>
                <w:rFonts w:ascii="Arial" w:cs="Arial" w:eastAsia="Arial" w:hAnsi="Arial"/>
                <w:sz w:val="16"/>
                <w:szCs w:val="16"/>
                <w:color w:val="auto"/>
              </w:rPr>
              <w:t>•   Focuses on significant use of performance-based</w:t>
            </w:r>
          </w:p>
        </w:tc>
        <w:tc>
          <w:tcPr>
            <w:tcW w:w="0" w:type="dxa"/>
            <w:vAlign w:val="bottom"/>
          </w:tcPr>
          <w:p>
            <w:pPr>
              <w:spacing w:after="0"/>
              <w:rPr>
                <w:sz w:val="1"/>
                <w:szCs w:val="1"/>
                <w:color w:val="auto"/>
              </w:rPr>
            </w:pPr>
          </w:p>
        </w:tc>
      </w:tr>
      <w:tr>
        <w:trPr>
          <w:trHeight w:val="189"/>
        </w:trPr>
        <w:tc>
          <w:tcPr>
            <w:tcW w:w="1920" w:type="dxa"/>
            <w:vAlign w:val="bottom"/>
            <w:shd w:val="clear" w:color="auto" w:fill="1D3060"/>
          </w:tcPr>
          <w:p>
            <w:pPr>
              <w:spacing w:after="0"/>
              <w:rPr>
                <w:sz w:val="16"/>
                <w:szCs w:val="16"/>
                <w:color w:val="auto"/>
              </w:rPr>
            </w:pPr>
          </w:p>
        </w:tc>
        <w:tc>
          <w:tcPr>
            <w:tcW w:w="500" w:type="dxa"/>
            <w:vAlign w:val="bottom"/>
            <w:shd w:val="clear" w:color="auto" w:fill="D7E8F5"/>
          </w:tcPr>
          <w:p>
            <w:pPr>
              <w:spacing w:after="0"/>
              <w:rPr>
                <w:sz w:val="16"/>
                <w:szCs w:val="16"/>
                <w:color w:val="auto"/>
              </w:rPr>
            </w:pPr>
          </w:p>
        </w:tc>
        <w:tc>
          <w:tcPr>
            <w:tcW w:w="4420" w:type="dxa"/>
            <w:vAlign w:val="bottom"/>
            <w:shd w:val="clear" w:color="auto" w:fill="D7E8F5"/>
          </w:tcPr>
          <w:p>
            <w:pPr>
              <w:ind w:left="380"/>
              <w:spacing w:after="0"/>
              <w:rPr>
                <w:sz w:val="20"/>
                <w:szCs w:val="20"/>
                <w:color w:val="auto"/>
              </w:rPr>
            </w:pPr>
            <w:r>
              <w:rPr>
                <w:rFonts w:ascii="Arial" w:cs="Arial" w:eastAsia="Arial" w:hAnsi="Arial"/>
                <w:sz w:val="16"/>
                <w:szCs w:val="16"/>
                <w:color w:val="auto"/>
              </w:rPr>
              <w:t>pre-established goals and/or metrics</w:t>
            </w:r>
          </w:p>
        </w:tc>
        <w:tc>
          <w:tcPr>
            <w:tcW w:w="4180" w:type="dxa"/>
            <w:vAlign w:val="bottom"/>
            <w:shd w:val="clear" w:color="auto" w:fill="D7E8F5"/>
          </w:tcPr>
          <w:p>
            <w:pPr>
              <w:ind w:left="260"/>
              <w:spacing w:after="0"/>
              <w:rPr>
                <w:sz w:val="20"/>
                <w:szCs w:val="20"/>
                <w:color w:val="auto"/>
              </w:rPr>
            </w:pPr>
            <w:r>
              <w:rPr>
                <w:rFonts w:ascii="Arial" w:cs="Arial" w:eastAsia="Arial" w:hAnsi="Arial"/>
                <w:sz w:val="16"/>
                <w:szCs w:val="16"/>
                <w:color w:val="auto"/>
              </w:rPr>
              <w:t>vesting for equity awards to align executive and</w:t>
            </w:r>
          </w:p>
        </w:tc>
        <w:tc>
          <w:tcPr>
            <w:tcW w:w="0" w:type="dxa"/>
            <w:vAlign w:val="bottom"/>
          </w:tcPr>
          <w:p>
            <w:pPr>
              <w:spacing w:after="0"/>
              <w:rPr>
                <w:sz w:val="1"/>
                <w:szCs w:val="1"/>
                <w:color w:val="auto"/>
              </w:rPr>
            </w:pPr>
          </w:p>
        </w:tc>
      </w:tr>
      <w:tr>
        <w:trPr>
          <w:trHeight w:val="215"/>
        </w:trPr>
        <w:tc>
          <w:tcPr>
            <w:tcW w:w="1920" w:type="dxa"/>
            <w:vAlign w:val="bottom"/>
            <w:shd w:val="clear" w:color="auto" w:fill="1D3060"/>
          </w:tcPr>
          <w:p>
            <w:pPr>
              <w:spacing w:after="0"/>
              <w:rPr>
                <w:sz w:val="18"/>
                <w:szCs w:val="18"/>
                <w:color w:val="auto"/>
              </w:rPr>
            </w:pPr>
          </w:p>
        </w:tc>
        <w:tc>
          <w:tcPr>
            <w:tcW w:w="500" w:type="dxa"/>
            <w:vAlign w:val="bottom"/>
            <w:shd w:val="clear" w:color="auto" w:fill="D7E8F5"/>
          </w:tcPr>
          <w:p>
            <w:pPr>
              <w:spacing w:after="0"/>
              <w:rPr>
                <w:sz w:val="18"/>
                <w:szCs w:val="18"/>
                <w:color w:val="auto"/>
              </w:rPr>
            </w:pPr>
          </w:p>
        </w:tc>
        <w:tc>
          <w:tcPr>
            <w:tcW w:w="4420" w:type="dxa"/>
            <w:vAlign w:val="bottom"/>
            <w:vMerge w:val="restart"/>
            <w:shd w:val="clear" w:color="auto" w:fill="D7E8F5"/>
          </w:tcPr>
          <w:p>
            <w:pPr>
              <w:ind w:left="220"/>
              <w:spacing w:after="0"/>
              <w:rPr>
                <w:sz w:val="20"/>
                <w:szCs w:val="20"/>
                <w:color w:val="auto"/>
              </w:rPr>
            </w:pPr>
            <w:r>
              <w:rPr>
                <w:rFonts w:ascii="Arial" w:cs="Arial" w:eastAsia="Arial" w:hAnsi="Arial"/>
                <w:sz w:val="16"/>
                <w:szCs w:val="16"/>
                <w:color w:val="auto"/>
              </w:rPr>
              <w:t>•   RSUs vest based on continued service</w:t>
            </w:r>
          </w:p>
        </w:tc>
        <w:tc>
          <w:tcPr>
            <w:tcW w:w="4180" w:type="dxa"/>
            <w:vAlign w:val="bottom"/>
            <w:shd w:val="clear" w:color="auto" w:fill="D7E8F5"/>
          </w:tcPr>
          <w:p>
            <w:pPr>
              <w:ind w:left="260"/>
              <w:spacing w:after="0"/>
              <w:rPr>
                <w:sz w:val="20"/>
                <w:szCs w:val="20"/>
                <w:color w:val="auto"/>
              </w:rPr>
            </w:pPr>
            <w:r>
              <w:rPr>
                <w:rFonts w:ascii="Arial" w:cs="Arial" w:eastAsia="Arial" w:hAnsi="Arial"/>
                <w:sz w:val="16"/>
                <w:szCs w:val="16"/>
                <w:color w:val="auto"/>
              </w:rPr>
              <w:t>stockholder interests through long-term value creation</w:t>
            </w:r>
          </w:p>
        </w:tc>
        <w:tc>
          <w:tcPr>
            <w:tcW w:w="0" w:type="dxa"/>
            <w:vAlign w:val="bottom"/>
          </w:tcPr>
          <w:p>
            <w:pPr>
              <w:spacing w:after="0"/>
              <w:rPr>
                <w:sz w:val="1"/>
                <w:szCs w:val="1"/>
                <w:color w:val="auto"/>
              </w:rPr>
            </w:pPr>
          </w:p>
        </w:tc>
      </w:tr>
      <w:tr>
        <w:trPr>
          <w:trHeight w:val="122"/>
        </w:trPr>
        <w:tc>
          <w:tcPr>
            <w:tcW w:w="1920" w:type="dxa"/>
            <w:vAlign w:val="bottom"/>
            <w:shd w:val="clear" w:color="auto" w:fill="1D3060"/>
          </w:tcPr>
          <w:p>
            <w:pPr>
              <w:spacing w:after="0"/>
              <w:rPr>
                <w:sz w:val="10"/>
                <w:szCs w:val="10"/>
                <w:color w:val="auto"/>
              </w:rPr>
            </w:pPr>
          </w:p>
        </w:tc>
        <w:tc>
          <w:tcPr>
            <w:tcW w:w="500" w:type="dxa"/>
            <w:vAlign w:val="bottom"/>
            <w:shd w:val="clear" w:color="auto" w:fill="D7E8F5"/>
          </w:tcPr>
          <w:p>
            <w:pPr>
              <w:spacing w:after="0"/>
              <w:rPr>
                <w:sz w:val="10"/>
                <w:szCs w:val="10"/>
                <w:color w:val="auto"/>
              </w:rPr>
            </w:pPr>
          </w:p>
        </w:tc>
        <w:tc>
          <w:tcPr>
            <w:tcW w:w="4420" w:type="dxa"/>
            <w:vAlign w:val="bottom"/>
            <w:vMerge w:val="continue"/>
            <w:shd w:val="clear" w:color="auto" w:fill="D7E8F5"/>
          </w:tcPr>
          <w:p>
            <w:pPr>
              <w:spacing w:after="0"/>
              <w:rPr>
                <w:sz w:val="10"/>
                <w:szCs w:val="10"/>
                <w:color w:val="auto"/>
              </w:rPr>
            </w:pPr>
          </w:p>
        </w:tc>
        <w:tc>
          <w:tcPr>
            <w:tcW w:w="4180" w:type="dxa"/>
            <w:vAlign w:val="bottom"/>
            <w:vMerge w:val="restart"/>
            <w:shd w:val="clear" w:color="auto" w:fill="D7E8F5"/>
          </w:tcPr>
          <w:p>
            <w:pPr>
              <w:ind w:left="100"/>
              <w:spacing w:after="0"/>
              <w:rPr>
                <w:sz w:val="20"/>
                <w:szCs w:val="20"/>
                <w:color w:val="auto"/>
              </w:rPr>
            </w:pPr>
            <w:r>
              <w:rPr>
                <w:rFonts w:ascii="Arial" w:cs="Arial" w:eastAsia="Arial" w:hAnsi="Arial"/>
                <w:sz w:val="16"/>
                <w:szCs w:val="16"/>
                <w:color w:val="auto"/>
              </w:rPr>
              <w:t>•   Enhances retention of executives with a mix of</w:t>
            </w:r>
          </w:p>
        </w:tc>
        <w:tc>
          <w:tcPr>
            <w:tcW w:w="0" w:type="dxa"/>
            <w:vAlign w:val="bottom"/>
          </w:tcPr>
          <w:p>
            <w:pPr>
              <w:spacing w:after="0"/>
              <w:rPr>
                <w:sz w:val="1"/>
                <w:szCs w:val="1"/>
                <w:color w:val="auto"/>
              </w:rPr>
            </w:pPr>
          </w:p>
        </w:tc>
      </w:tr>
      <w:tr>
        <w:trPr>
          <w:trHeight w:val="258"/>
        </w:trPr>
        <w:tc>
          <w:tcPr>
            <w:tcW w:w="1920" w:type="dxa"/>
            <w:vAlign w:val="bottom"/>
            <w:shd w:val="clear" w:color="auto" w:fill="1D3060"/>
          </w:tcPr>
          <w:p>
            <w:pPr>
              <w:spacing w:after="0"/>
              <w:rPr>
                <w:sz w:val="22"/>
                <w:szCs w:val="22"/>
                <w:color w:val="auto"/>
              </w:rPr>
            </w:pPr>
          </w:p>
        </w:tc>
        <w:tc>
          <w:tcPr>
            <w:tcW w:w="500" w:type="dxa"/>
            <w:vAlign w:val="bottom"/>
            <w:shd w:val="clear" w:color="auto" w:fill="D7E8F5"/>
          </w:tcPr>
          <w:p>
            <w:pPr>
              <w:spacing w:after="0"/>
              <w:rPr>
                <w:sz w:val="22"/>
                <w:szCs w:val="22"/>
                <w:color w:val="auto"/>
              </w:rPr>
            </w:pPr>
          </w:p>
        </w:tc>
        <w:tc>
          <w:tcPr>
            <w:tcW w:w="4420" w:type="dxa"/>
            <w:vAlign w:val="bottom"/>
            <w:shd w:val="clear" w:color="auto" w:fill="D7E8F5"/>
          </w:tcPr>
          <w:p>
            <w:pPr>
              <w:ind w:left="220"/>
              <w:spacing w:after="0"/>
              <w:rPr>
                <w:sz w:val="20"/>
                <w:szCs w:val="20"/>
                <w:color w:val="auto"/>
              </w:rPr>
            </w:pPr>
            <w:r>
              <w:rPr>
                <w:rFonts w:ascii="Arial" w:cs="Arial" w:eastAsia="Arial" w:hAnsi="Arial"/>
                <w:sz w:val="16"/>
                <w:szCs w:val="16"/>
                <w:color w:val="auto"/>
              </w:rPr>
              <w:t>•   Stock options vest based on continued service and only</w:t>
            </w:r>
          </w:p>
        </w:tc>
        <w:tc>
          <w:tcPr>
            <w:tcW w:w="4180" w:type="dxa"/>
            <w:vAlign w:val="bottom"/>
            <w:vMerge w:val="continue"/>
            <w:shd w:val="clear" w:color="auto" w:fill="D7E8F5"/>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1D3060"/>
          </w:tcPr>
          <w:p>
            <w:pPr>
              <w:spacing w:after="0"/>
              <w:rPr>
                <w:sz w:val="16"/>
                <w:szCs w:val="16"/>
                <w:color w:val="auto"/>
              </w:rPr>
            </w:pPr>
          </w:p>
        </w:tc>
        <w:tc>
          <w:tcPr>
            <w:tcW w:w="500" w:type="dxa"/>
            <w:vAlign w:val="bottom"/>
            <w:shd w:val="clear" w:color="auto" w:fill="D7E8F5"/>
          </w:tcPr>
          <w:p>
            <w:pPr>
              <w:spacing w:after="0"/>
              <w:rPr>
                <w:sz w:val="16"/>
                <w:szCs w:val="16"/>
                <w:color w:val="auto"/>
              </w:rPr>
            </w:pPr>
          </w:p>
        </w:tc>
        <w:tc>
          <w:tcPr>
            <w:tcW w:w="4420" w:type="dxa"/>
            <w:vAlign w:val="bottom"/>
            <w:vMerge w:val="restart"/>
            <w:shd w:val="clear" w:color="auto" w:fill="D7E8F5"/>
          </w:tcPr>
          <w:p>
            <w:pPr>
              <w:ind w:left="380"/>
              <w:spacing w:after="0"/>
              <w:rPr>
                <w:sz w:val="20"/>
                <w:szCs w:val="20"/>
                <w:color w:val="auto"/>
              </w:rPr>
            </w:pPr>
            <w:r>
              <w:rPr>
                <w:rFonts w:ascii="Arial" w:cs="Arial" w:eastAsia="Arial" w:hAnsi="Arial"/>
                <w:sz w:val="16"/>
                <w:szCs w:val="16"/>
                <w:color w:val="auto"/>
              </w:rPr>
              <w:t>have value if and to the extent that our stock price</w:t>
            </w:r>
          </w:p>
        </w:tc>
        <w:tc>
          <w:tcPr>
            <w:tcW w:w="4180" w:type="dxa"/>
            <w:vAlign w:val="bottom"/>
            <w:shd w:val="clear" w:color="auto" w:fill="D7E8F5"/>
          </w:tcPr>
          <w:p>
            <w:pPr>
              <w:ind w:left="260"/>
              <w:spacing w:after="0"/>
              <w:rPr>
                <w:sz w:val="20"/>
                <w:szCs w:val="20"/>
                <w:color w:val="auto"/>
              </w:rPr>
            </w:pPr>
            <w:r>
              <w:rPr>
                <w:rFonts w:ascii="Arial" w:cs="Arial" w:eastAsia="Arial" w:hAnsi="Arial"/>
                <w:sz w:val="16"/>
                <w:szCs w:val="16"/>
                <w:color w:val="auto"/>
              </w:rPr>
              <w:t>performance- and service-based vesting</w:t>
            </w:r>
          </w:p>
        </w:tc>
        <w:tc>
          <w:tcPr>
            <w:tcW w:w="0" w:type="dxa"/>
            <w:vAlign w:val="bottom"/>
          </w:tcPr>
          <w:p>
            <w:pPr>
              <w:spacing w:after="0"/>
              <w:rPr>
                <w:sz w:val="1"/>
                <w:szCs w:val="1"/>
                <w:color w:val="auto"/>
              </w:rPr>
            </w:pPr>
          </w:p>
        </w:tc>
      </w:tr>
      <w:tr>
        <w:trPr>
          <w:trHeight w:val="26"/>
        </w:trPr>
        <w:tc>
          <w:tcPr>
            <w:tcW w:w="1920" w:type="dxa"/>
            <w:vAlign w:val="bottom"/>
            <w:shd w:val="clear" w:color="auto" w:fill="1D3060"/>
          </w:tcPr>
          <w:p>
            <w:pPr>
              <w:spacing w:after="0"/>
              <w:rPr>
                <w:sz w:val="2"/>
                <w:szCs w:val="2"/>
                <w:color w:val="auto"/>
              </w:rPr>
            </w:pPr>
          </w:p>
        </w:tc>
        <w:tc>
          <w:tcPr>
            <w:tcW w:w="500" w:type="dxa"/>
            <w:vAlign w:val="bottom"/>
            <w:shd w:val="clear" w:color="auto" w:fill="D7E8F5"/>
          </w:tcPr>
          <w:p>
            <w:pPr>
              <w:spacing w:after="0"/>
              <w:rPr>
                <w:sz w:val="2"/>
                <w:szCs w:val="2"/>
                <w:color w:val="auto"/>
              </w:rPr>
            </w:pPr>
          </w:p>
        </w:tc>
        <w:tc>
          <w:tcPr>
            <w:tcW w:w="4420" w:type="dxa"/>
            <w:vAlign w:val="bottom"/>
            <w:vMerge w:val="continue"/>
            <w:shd w:val="clear" w:color="auto" w:fill="D7E8F5"/>
          </w:tcPr>
          <w:p>
            <w:pPr>
              <w:spacing w:after="0"/>
              <w:rPr>
                <w:sz w:val="2"/>
                <w:szCs w:val="2"/>
                <w:color w:val="auto"/>
              </w:rPr>
            </w:pPr>
          </w:p>
        </w:tc>
        <w:tc>
          <w:tcPr>
            <w:tcW w:w="4180" w:type="dxa"/>
            <w:vAlign w:val="bottom"/>
            <w:shd w:val="clear" w:color="auto" w:fill="D7E8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20" w:type="dxa"/>
            <w:vAlign w:val="bottom"/>
            <w:shd w:val="clear" w:color="auto" w:fill="1D3060"/>
          </w:tcPr>
          <w:p>
            <w:pPr>
              <w:spacing w:after="0"/>
              <w:rPr>
                <w:sz w:val="18"/>
                <w:szCs w:val="18"/>
                <w:color w:val="auto"/>
              </w:rPr>
            </w:pPr>
          </w:p>
        </w:tc>
        <w:tc>
          <w:tcPr>
            <w:tcW w:w="500" w:type="dxa"/>
            <w:vAlign w:val="bottom"/>
            <w:shd w:val="clear" w:color="auto" w:fill="D7E8F5"/>
          </w:tcPr>
          <w:p>
            <w:pPr>
              <w:spacing w:after="0"/>
              <w:rPr>
                <w:sz w:val="18"/>
                <w:szCs w:val="18"/>
                <w:color w:val="auto"/>
              </w:rPr>
            </w:pPr>
          </w:p>
        </w:tc>
        <w:tc>
          <w:tcPr>
            <w:tcW w:w="4420" w:type="dxa"/>
            <w:vAlign w:val="bottom"/>
            <w:shd w:val="clear" w:color="auto" w:fill="D7E8F5"/>
          </w:tcPr>
          <w:p>
            <w:pPr>
              <w:ind w:left="380"/>
              <w:spacing w:after="0"/>
              <w:rPr>
                <w:sz w:val="20"/>
                <w:szCs w:val="20"/>
                <w:color w:val="auto"/>
              </w:rPr>
            </w:pPr>
            <w:r>
              <w:rPr>
                <w:rFonts w:ascii="Arial" w:cs="Arial" w:eastAsia="Arial" w:hAnsi="Arial"/>
                <w:sz w:val="16"/>
                <w:szCs w:val="16"/>
                <w:color w:val="auto"/>
              </w:rPr>
              <w:t>appreciates after grant</w:t>
            </w:r>
          </w:p>
        </w:tc>
        <w:tc>
          <w:tcPr>
            <w:tcW w:w="4180" w:type="dxa"/>
            <w:vAlign w:val="bottom"/>
            <w:shd w:val="clear" w:color="auto" w:fill="D7E8F5"/>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1920" w:type="dxa"/>
            <w:vAlign w:val="bottom"/>
            <w:shd w:val="clear" w:color="auto" w:fill="1D3060"/>
          </w:tcPr>
          <w:p>
            <w:pPr>
              <w:spacing w:after="0"/>
              <w:rPr>
                <w:sz w:val="10"/>
                <w:szCs w:val="10"/>
                <w:color w:val="auto"/>
              </w:rPr>
            </w:pPr>
          </w:p>
        </w:tc>
        <w:tc>
          <w:tcPr>
            <w:tcW w:w="500" w:type="dxa"/>
            <w:vAlign w:val="bottom"/>
            <w:shd w:val="clear" w:color="auto" w:fill="D7E8F5"/>
          </w:tcPr>
          <w:p>
            <w:pPr>
              <w:spacing w:after="0"/>
              <w:rPr>
                <w:sz w:val="10"/>
                <w:szCs w:val="10"/>
                <w:color w:val="auto"/>
              </w:rPr>
            </w:pPr>
          </w:p>
        </w:tc>
        <w:tc>
          <w:tcPr>
            <w:tcW w:w="4420" w:type="dxa"/>
            <w:vAlign w:val="bottom"/>
            <w:shd w:val="clear" w:color="auto" w:fill="D7E8F5"/>
          </w:tcPr>
          <w:p>
            <w:pPr>
              <w:spacing w:after="0"/>
              <w:rPr>
                <w:sz w:val="10"/>
                <w:szCs w:val="10"/>
                <w:color w:val="auto"/>
              </w:rPr>
            </w:pPr>
          </w:p>
        </w:tc>
        <w:tc>
          <w:tcPr>
            <w:tcW w:w="4180" w:type="dxa"/>
            <w:vAlign w:val="bottom"/>
            <w:shd w:val="clear" w:color="auto" w:fill="D7E8F5"/>
          </w:tcPr>
          <w:p>
            <w:pPr>
              <w:spacing w:after="0"/>
              <w:rPr>
                <w:sz w:val="10"/>
                <w:szCs w:val="1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20" w:firstLine="771"/>
        <w:spacing w:after="0" w:line="234" w:lineRule="auto"/>
        <w:rPr>
          <w:sz w:val="20"/>
          <w:szCs w:val="20"/>
          <w:color w:val="auto"/>
        </w:rPr>
      </w:pPr>
      <w:r>
        <w:rPr>
          <w:rFonts w:ascii="Arial" w:cs="Arial" w:eastAsia="Arial" w:hAnsi="Arial"/>
          <w:sz w:val="20"/>
          <w:szCs w:val="20"/>
          <w:color w:val="auto"/>
        </w:rPr>
        <w:t>The PC&amp;C committee is committed to ensuring that a substantial portion of NEO compensation is “at-risk” and variable. For 2023, 94% of our CEO’s total direct compensation and, on average, 86% of our other NEOs’ total direct compensation, is variable and directly affected by both our company’s and each NEO’s performance. In addition, for both our CEO and our other NEOs, 50% of annual long-term incentive compensation consists of performance-based equity awards in the form of performance stock units, or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2293620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141605</wp:posOffset>
            </wp:positionV>
            <wp:extent cx="5194935" cy="19030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9493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Base Salary</w:t>
      </w:r>
    </w:p>
    <w:p>
      <w:pPr>
        <w:spacing w:after="0" w:line="202" w:lineRule="exact"/>
        <w:rPr>
          <w:sz w:val="20"/>
          <w:szCs w:val="20"/>
          <w:color w:val="auto"/>
        </w:rPr>
      </w:pPr>
    </w:p>
    <w:p>
      <w:pPr>
        <w:ind w:left="120" w:right="300" w:firstLine="771"/>
        <w:spacing w:after="0" w:line="233" w:lineRule="auto"/>
        <w:rPr>
          <w:sz w:val="20"/>
          <w:szCs w:val="20"/>
          <w:color w:val="auto"/>
        </w:rPr>
      </w:pPr>
      <w:r>
        <w:rPr>
          <w:rFonts w:ascii="Arial" w:cs="Arial" w:eastAsia="Arial" w:hAnsi="Arial"/>
          <w:sz w:val="20"/>
          <w:szCs w:val="20"/>
          <w:color w:val="auto"/>
        </w:rPr>
        <w:t>Our PC&amp;C committee reviews and approves base salary adjustments for our NEOs, other than our CEO, after consideration of benchmarking conducted by its compensation consultant, the NEO’s individual performance and the recommendation of our CEO. The PC&amp;C committee reviews and recommends to the board, for its consideration and approval, base salary adjustments for our CEO, based on benchmarking conducted by its compensation consultant and an individual performance assessment. For more information regarding the process the PC&amp;C committee uses to determine NEO base salaries, see the section below entitled “Committee Process for Setting Total Compensation.”</w:t>
      </w:r>
    </w:p>
    <w:p>
      <w:pPr>
        <w:spacing w:after="0" w:line="172" w:lineRule="exact"/>
        <w:rPr>
          <w:sz w:val="20"/>
          <w:szCs w:val="20"/>
          <w:color w:val="auto"/>
        </w:rPr>
      </w:pPr>
    </w:p>
    <w:p>
      <w:pPr>
        <w:ind w:left="120" w:right="120" w:firstLine="771"/>
        <w:spacing w:after="0" w:line="234" w:lineRule="auto"/>
        <w:rPr>
          <w:sz w:val="20"/>
          <w:szCs w:val="20"/>
          <w:color w:val="auto"/>
        </w:rPr>
      </w:pPr>
      <w:r>
        <w:rPr>
          <w:rFonts w:ascii="Arial" w:cs="Arial" w:eastAsia="Arial" w:hAnsi="Arial"/>
          <w:sz w:val="20"/>
          <w:szCs w:val="20"/>
          <w:color w:val="auto"/>
        </w:rPr>
        <w:t>During the first quarter of 2023, the PC&amp;C committee approved base salary adjustments for each of our NEOs other than our CEO, and the PC&amp;C committee recommended, and our board approved, a base salary adjustment for our CEO. These adjustments, which are reflected in the table below, were effective as of March 1, 2023, and were based upon each NEO’s individual performance and a review by the PC&amp;C committee and, in the case of our CEO, the board, of the base salaries payable to comparable executive officers by companies in our peer group.</w:t>
      </w:r>
    </w:p>
    <w:p>
      <w:pPr>
        <w:spacing w:after="0" w:line="175" w:lineRule="exact"/>
        <w:rPr>
          <w:sz w:val="20"/>
          <w:szCs w:val="20"/>
          <w:color w:val="auto"/>
        </w:rPr>
      </w:pPr>
    </w:p>
    <w:p>
      <w:pPr>
        <w:ind w:left="120" w:right="440" w:firstLine="771"/>
        <w:spacing w:after="0" w:line="257" w:lineRule="auto"/>
        <w:rPr>
          <w:sz w:val="20"/>
          <w:szCs w:val="20"/>
          <w:color w:val="auto"/>
        </w:rPr>
      </w:pPr>
      <w:r>
        <w:rPr>
          <w:rFonts w:ascii="Arial" w:cs="Arial" w:eastAsia="Arial" w:hAnsi="Arial"/>
          <w:sz w:val="20"/>
          <w:szCs w:val="20"/>
          <w:color w:val="auto"/>
        </w:rPr>
        <w:t>The table below sets forth the 2023 and 2022 base salaries, in dollars, and the adjustment to base salaries, as a percentage, for each of our NEOs:</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3860" w:type="dxa"/>
            <w:vAlign w:val="bottom"/>
          </w:tcPr>
          <w:p>
            <w:pPr>
              <w:spacing w:after="0"/>
              <w:rPr>
                <w:sz w:val="23"/>
                <w:szCs w:val="23"/>
                <w:color w:val="auto"/>
              </w:rPr>
            </w:pPr>
          </w:p>
        </w:tc>
        <w:tc>
          <w:tcPr>
            <w:tcW w:w="3320" w:type="dxa"/>
            <w:vAlign w:val="bottom"/>
          </w:tcPr>
          <w:p>
            <w:pPr>
              <w:jc w:val="right"/>
              <w:ind w:right="381"/>
              <w:spacing w:after="0"/>
              <w:rPr>
                <w:sz w:val="20"/>
                <w:szCs w:val="20"/>
                <w:color w:val="auto"/>
              </w:rPr>
            </w:pPr>
            <w:r>
              <w:rPr>
                <w:rFonts w:ascii="Arial" w:cs="Arial" w:eastAsia="Arial" w:hAnsi="Arial"/>
                <w:sz w:val="20"/>
                <w:szCs w:val="20"/>
                <w:b w:val="1"/>
                <w:bCs w:val="1"/>
                <w:color w:val="1D3060"/>
              </w:rPr>
              <w:t>Base Salary Adjustments</w:t>
            </w:r>
          </w:p>
        </w:tc>
        <w:tc>
          <w:tcPr>
            <w:tcW w:w="20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09"/>
        </w:trPr>
        <w:tc>
          <w:tcPr>
            <w:tcW w:w="38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46"/>
        </w:trPr>
        <w:tc>
          <w:tcPr>
            <w:tcW w:w="3860" w:type="dxa"/>
            <w:vAlign w:val="bottom"/>
            <w:shd w:val="clear" w:color="auto" w:fill="1D3060"/>
          </w:tcPr>
          <w:p>
            <w:pPr>
              <w:spacing w:after="0"/>
              <w:rPr>
                <w:sz w:val="21"/>
                <w:szCs w:val="21"/>
                <w:color w:val="auto"/>
              </w:rPr>
            </w:pPr>
          </w:p>
        </w:tc>
        <w:tc>
          <w:tcPr>
            <w:tcW w:w="3320" w:type="dxa"/>
            <w:vAlign w:val="bottom"/>
            <w:shd w:val="clear" w:color="auto" w:fill="1D3060"/>
          </w:tcPr>
          <w:p>
            <w:pPr>
              <w:jc w:val="right"/>
              <w:ind w:right="541"/>
              <w:spacing w:after="0"/>
              <w:rPr>
                <w:sz w:val="20"/>
                <w:szCs w:val="20"/>
                <w:color w:val="auto"/>
              </w:rPr>
            </w:pPr>
            <w:r>
              <w:rPr>
                <w:rFonts w:ascii="Arial" w:cs="Arial" w:eastAsia="Arial" w:hAnsi="Arial"/>
                <w:sz w:val="20"/>
                <w:szCs w:val="20"/>
                <w:b w:val="1"/>
                <w:bCs w:val="1"/>
                <w:color w:val="FFFFFF"/>
              </w:rPr>
              <w:t>2023 Base</w:t>
            </w:r>
          </w:p>
        </w:tc>
        <w:tc>
          <w:tcPr>
            <w:tcW w:w="2000" w:type="dxa"/>
            <w:vAlign w:val="bottom"/>
            <w:shd w:val="clear" w:color="auto" w:fill="1D3060"/>
          </w:tcPr>
          <w:p>
            <w:pPr>
              <w:jc w:val="center"/>
              <w:spacing w:after="0"/>
              <w:rPr>
                <w:sz w:val="20"/>
                <w:szCs w:val="20"/>
                <w:color w:val="auto"/>
              </w:rPr>
            </w:pPr>
            <w:r>
              <w:rPr>
                <w:rFonts w:ascii="Arial" w:cs="Arial" w:eastAsia="Arial" w:hAnsi="Arial"/>
                <w:sz w:val="20"/>
                <w:szCs w:val="20"/>
                <w:b w:val="1"/>
                <w:bCs w:val="1"/>
                <w:color w:val="FFFFFF"/>
                <w:w w:val="98"/>
              </w:rPr>
              <w:t>2022 Base</w:t>
            </w:r>
          </w:p>
        </w:tc>
        <w:tc>
          <w:tcPr>
            <w:tcW w:w="1840" w:type="dxa"/>
            <w:vAlign w:val="bottom"/>
            <w:shd w:val="clear" w:color="auto" w:fill="1D3060"/>
          </w:tcPr>
          <w:p>
            <w:pPr>
              <w:spacing w:after="0"/>
              <w:rPr>
                <w:sz w:val="21"/>
                <w:szCs w:val="21"/>
                <w:color w:val="auto"/>
              </w:rPr>
            </w:pPr>
          </w:p>
        </w:tc>
      </w:tr>
      <w:tr>
        <w:trPr>
          <w:trHeight w:val="287"/>
        </w:trPr>
        <w:tc>
          <w:tcPr>
            <w:tcW w:w="3860" w:type="dxa"/>
            <w:vAlign w:val="bottom"/>
            <w:tcBorders>
              <w:bottom w:val="single" w:sz="8" w:color="1D3060"/>
            </w:tcBorders>
            <w:shd w:val="clear" w:color="auto" w:fill="1D3060"/>
          </w:tcPr>
          <w:p>
            <w:pPr>
              <w:spacing w:after="0"/>
              <w:rPr>
                <w:sz w:val="20"/>
                <w:szCs w:val="20"/>
                <w:color w:val="auto"/>
              </w:rPr>
            </w:pPr>
            <w:r>
              <w:rPr>
                <w:rFonts w:ascii="Arial" w:cs="Arial" w:eastAsia="Arial" w:hAnsi="Arial"/>
                <w:sz w:val="20"/>
                <w:szCs w:val="20"/>
                <w:b w:val="1"/>
                <w:bCs w:val="1"/>
                <w:color w:val="FFFFFF"/>
              </w:rPr>
              <w:t>  Name</w:t>
            </w:r>
          </w:p>
        </w:tc>
        <w:tc>
          <w:tcPr>
            <w:tcW w:w="3320" w:type="dxa"/>
            <w:vAlign w:val="bottom"/>
            <w:tcBorders>
              <w:bottom w:val="single" w:sz="8" w:color="1D3060"/>
            </w:tcBorders>
            <w:shd w:val="clear" w:color="auto" w:fill="1D3060"/>
          </w:tcPr>
          <w:p>
            <w:pPr>
              <w:jc w:val="right"/>
              <w:ind w:right="601"/>
              <w:spacing w:after="0"/>
              <w:rPr>
                <w:sz w:val="20"/>
                <w:szCs w:val="20"/>
                <w:color w:val="auto"/>
              </w:rPr>
            </w:pPr>
            <w:r>
              <w:rPr>
                <w:rFonts w:ascii="Arial" w:cs="Arial" w:eastAsia="Arial" w:hAnsi="Arial"/>
                <w:sz w:val="20"/>
                <w:szCs w:val="20"/>
                <w:b w:val="1"/>
                <w:bCs w:val="1"/>
                <w:color w:val="FFFFFF"/>
              </w:rPr>
              <w:t>Salary($)</w:t>
            </w:r>
          </w:p>
        </w:tc>
        <w:tc>
          <w:tcPr>
            <w:tcW w:w="200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20"/>
                <w:szCs w:val="20"/>
                <w:b w:val="1"/>
                <w:bCs w:val="1"/>
                <w:color w:val="FFFFFF"/>
                <w:w w:val="99"/>
              </w:rPr>
              <w:t>Salary($)</w:t>
            </w:r>
          </w:p>
        </w:tc>
        <w:tc>
          <w:tcPr>
            <w:tcW w:w="1840" w:type="dxa"/>
            <w:vAlign w:val="bottom"/>
            <w:tcBorders>
              <w:bottom w:val="single" w:sz="8" w:color="1D3060"/>
            </w:tcBorders>
            <w:shd w:val="clear" w:color="auto" w:fill="1D3060"/>
          </w:tcPr>
          <w:p>
            <w:pPr>
              <w:jc w:val="right"/>
              <w:ind w:right="101"/>
              <w:spacing w:after="0"/>
              <w:rPr>
                <w:sz w:val="20"/>
                <w:szCs w:val="20"/>
                <w:color w:val="auto"/>
              </w:rPr>
            </w:pPr>
            <w:r>
              <w:rPr>
                <w:rFonts w:ascii="Arial" w:cs="Arial" w:eastAsia="Arial" w:hAnsi="Arial"/>
                <w:sz w:val="20"/>
                <w:szCs w:val="20"/>
                <w:b w:val="1"/>
                <w:bCs w:val="1"/>
                <w:color w:val="FFFFFF"/>
              </w:rPr>
              <w:t>Increase(%)</w:t>
            </w:r>
          </w:p>
        </w:tc>
      </w:tr>
      <w:tr>
        <w:trPr>
          <w:trHeight w:val="277"/>
        </w:trPr>
        <w:tc>
          <w:tcPr>
            <w:tcW w:w="386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20"/>
                <w:szCs w:val="20"/>
                <w:color w:val="auto"/>
              </w:rPr>
              <w:t>  Yvonne L. Greenstreet, MBChB, MBA</w:t>
            </w:r>
          </w:p>
        </w:tc>
        <w:tc>
          <w:tcPr>
            <w:tcW w:w="3320" w:type="dxa"/>
            <w:vAlign w:val="bottom"/>
            <w:tcBorders>
              <w:bottom w:val="single" w:sz="8" w:color="D7E8F5"/>
            </w:tcBorders>
            <w:shd w:val="clear" w:color="auto" w:fill="D7E8F5"/>
          </w:tcPr>
          <w:p>
            <w:pPr>
              <w:jc w:val="right"/>
              <w:ind w:right="461"/>
              <w:spacing w:after="0"/>
              <w:rPr>
                <w:sz w:val="20"/>
                <w:szCs w:val="20"/>
                <w:color w:val="auto"/>
              </w:rPr>
            </w:pPr>
            <w:r>
              <w:rPr>
                <w:rFonts w:ascii="Arial" w:cs="Arial" w:eastAsia="Arial" w:hAnsi="Arial"/>
                <w:sz w:val="20"/>
                <w:szCs w:val="20"/>
                <w:color w:val="auto"/>
              </w:rPr>
              <w:t>1,000,000  </w:t>
            </w:r>
          </w:p>
        </w:tc>
        <w:tc>
          <w:tcPr>
            <w:tcW w:w="200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20"/>
                <w:szCs w:val="20"/>
                <w:color w:val="auto"/>
                <w:w w:val="99"/>
              </w:rPr>
              <w:t>850,000</w:t>
            </w:r>
          </w:p>
        </w:tc>
        <w:tc>
          <w:tcPr>
            <w:tcW w:w="1840" w:type="dxa"/>
            <w:vAlign w:val="bottom"/>
            <w:tcBorders>
              <w:bottom w:val="single" w:sz="8" w:color="D7E8F5"/>
            </w:tcBorders>
            <w:shd w:val="clear" w:color="auto" w:fill="D7E8F5"/>
          </w:tcPr>
          <w:p>
            <w:pPr>
              <w:jc w:val="right"/>
              <w:ind w:right="301"/>
              <w:spacing w:after="0"/>
              <w:rPr>
                <w:sz w:val="20"/>
                <w:szCs w:val="20"/>
                <w:color w:val="auto"/>
              </w:rPr>
            </w:pPr>
            <w:r>
              <w:rPr>
                <w:rFonts w:ascii="Arial" w:cs="Arial" w:eastAsia="Arial" w:hAnsi="Arial"/>
                <w:sz w:val="20"/>
                <w:szCs w:val="20"/>
                <w:color w:val="auto"/>
              </w:rPr>
              <w:t>17.6(1)</w:t>
            </w:r>
          </w:p>
        </w:tc>
      </w:tr>
      <w:tr>
        <w:trPr>
          <w:trHeight w:val="267"/>
        </w:trPr>
        <w:tc>
          <w:tcPr>
            <w:tcW w:w="3860" w:type="dxa"/>
            <w:vAlign w:val="bottom"/>
          </w:tcPr>
          <w:p>
            <w:pPr>
              <w:spacing w:after="0"/>
              <w:rPr>
                <w:sz w:val="20"/>
                <w:szCs w:val="20"/>
                <w:color w:val="auto"/>
              </w:rPr>
            </w:pPr>
            <w:r>
              <w:rPr>
                <w:rFonts w:ascii="Arial" w:cs="Arial" w:eastAsia="Arial" w:hAnsi="Arial"/>
                <w:sz w:val="20"/>
                <w:szCs w:val="20"/>
                <w:color w:val="auto"/>
              </w:rPr>
              <w:t>  Jeffrey V. Poulton</w:t>
            </w:r>
          </w:p>
        </w:tc>
        <w:tc>
          <w:tcPr>
            <w:tcW w:w="3320" w:type="dxa"/>
            <w:vAlign w:val="bottom"/>
          </w:tcPr>
          <w:p>
            <w:pPr>
              <w:jc w:val="right"/>
              <w:ind w:right="461"/>
              <w:spacing w:after="0"/>
              <w:rPr>
                <w:sz w:val="20"/>
                <w:szCs w:val="20"/>
                <w:color w:val="auto"/>
              </w:rPr>
            </w:pPr>
            <w:r>
              <w:rPr>
                <w:rFonts w:ascii="Arial" w:cs="Arial" w:eastAsia="Arial" w:hAnsi="Arial"/>
                <w:sz w:val="20"/>
                <w:szCs w:val="20"/>
                <w:color w:val="auto"/>
              </w:rPr>
              <w:t>660,000  </w:t>
            </w:r>
          </w:p>
        </w:tc>
        <w:tc>
          <w:tcPr>
            <w:tcW w:w="2000" w:type="dxa"/>
            <w:vAlign w:val="bottom"/>
          </w:tcPr>
          <w:p>
            <w:pPr>
              <w:jc w:val="center"/>
              <w:spacing w:after="0"/>
              <w:rPr>
                <w:sz w:val="20"/>
                <w:szCs w:val="20"/>
                <w:color w:val="auto"/>
              </w:rPr>
            </w:pPr>
            <w:r>
              <w:rPr>
                <w:rFonts w:ascii="Arial" w:cs="Arial" w:eastAsia="Arial" w:hAnsi="Arial"/>
                <w:sz w:val="20"/>
                <w:szCs w:val="20"/>
                <w:color w:val="auto"/>
                <w:w w:val="99"/>
              </w:rPr>
              <w:t>610,000</w:t>
            </w:r>
          </w:p>
        </w:tc>
        <w:tc>
          <w:tcPr>
            <w:tcW w:w="1840" w:type="dxa"/>
            <w:vAlign w:val="bottom"/>
          </w:tcPr>
          <w:p>
            <w:pPr>
              <w:jc w:val="right"/>
              <w:ind w:right="301"/>
              <w:spacing w:after="0"/>
              <w:rPr>
                <w:sz w:val="20"/>
                <w:szCs w:val="20"/>
                <w:color w:val="auto"/>
              </w:rPr>
            </w:pPr>
            <w:r>
              <w:rPr>
                <w:rFonts w:ascii="Arial" w:cs="Arial" w:eastAsia="Arial" w:hAnsi="Arial"/>
                <w:sz w:val="20"/>
                <w:szCs w:val="20"/>
                <w:color w:val="auto"/>
              </w:rPr>
              <w:t>8.2(2)</w:t>
            </w:r>
          </w:p>
        </w:tc>
      </w:tr>
      <w:tr>
        <w:trPr>
          <w:trHeight w:val="31"/>
        </w:trPr>
        <w:tc>
          <w:tcPr>
            <w:tcW w:w="38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7"/>
        </w:trPr>
        <w:tc>
          <w:tcPr>
            <w:tcW w:w="386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20"/>
                <w:szCs w:val="20"/>
                <w:color w:val="auto"/>
              </w:rPr>
              <w:t>  Pushkal Garg, M.D.</w:t>
            </w:r>
          </w:p>
        </w:tc>
        <w:tc>
          <w:tcPr>
            <w:tcW w:w="3320" w:type="dxa"/>
            <w:vAlign w:val="bottom"/>
            <w:tcBorders>
              <w:bottom w:val="single" w:sz="8" w:color="D7E8F5"/>
            </w:tcBorders>
            <w:shd w:val="clear" w:color="auto" w:fill="D7E8F5"/>
          </w:tcPr>
          <w:p>
            <w:pPr>
              <w:jc w:val="right"/>
              <w:ind w:right="461"/>
              <w:spacing w:after="0"/>
              <w:rPr>
                <w:sz w:val="20"/>
                <w:szCs w:val="20"/>
                <w:color w:val="auto"/>
              </w:rPr>
            </w:pPr>
            <w:r>
              <w:rPr>
                <w:rFonts w:ascii="Arial" w:cs="Arial" w:eastAsia="Arial" w:hAnsi="Arial"/>
                <w:sz w:val="20"/>
                <w:szCs w:val="20"/>
                <w:color w:val="auto"/>
              </w:rPr>
              <w:t>663,000  </w:t>
            </w:r>
          </w:p>
        </w:tc>
        <w:tc>
          <w:tcPr>
            <w:tcW w:w="200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20"/>
                <w:szCs w:val="20"/>
                <w:color w:val="auto"/>
                <w:w w:val="99"/>
              </w:rPr>
              <w:t>625,000</w:t>
            </w:r>
          </w:p>
        </w:tc>
        <w:tc>
          <w:tcPr>
            <w:tcW w:w="1840" w:type="dxa"/>
            <w:vAlign w:val="bottom"/>
            <w:tcBorders>
              <w:bottom w:val="single" w:sz="8" w:color="D7E8F5"/>
            </w:tcBorders>
            <w:shd w:val="clear" w:color="auto" w:fill="D7E8F5"/>
          </w:tcPr>
          <w:p>
            <w:pPr>
              <w:jc w:val="right"/>
              <w:ind w:right="521"/>
              <w:spacing w:after="0"/>
              <w:rPr>
                <w:sz w:val="20"/>
                <w:szCs w:val="20"/>
                <w:color w:val="auto"/>
              </w:rPr>
            </w:pPr>
            <w:r>
              <w:rPr>
                <w:rFonts w:ascii="Arial" w:cs="Arial" w:eastAsia="Arial" w:hAnsi="Arial"/>
                <w:sz w:val="20"/>
                <w:szCs w:val="20"/>
                <w:color w:val="auto"/>
              </w:rPr>
              <w:t>6.1</w:t>
            </w:r>
          </w:p>
        </w:tc>
      </w:tr>
      <w:tr>
        <w:trPr>
          <w:trHeight w:val="267"/>
        </w:trPr>
        <w:tc>
          <w:tcPr>
            <w:tcW w:w="3860" w:type="dxa"/>
            <w:vAlign w:val="bottom"/>
          </w:tcPr>
          <w:p>
            <w:pPr>
              <w:spacing w:after="0"/>
              <w:rPr>
                <w:sz w:val="20"/>
                <w:szCs w:val="20"/>
                <w:color w:val="auto"/>
              </w:rPr>
            </w:pPr>
            <w:r>
              <w:rPr>
                <w:rFonts w:ascii="Arial" w:cs="Arial" w:eastAsia="Arial" w:hAnsi="Arial"/>
                <w:sz w:val="20"/>
                <w:szCs w:val="20"/>
                <w:color w:val="auto"/>
              </w:rPr>
              <w:t>  Tolga Tanguler</w:t>
            </w:r>
          </w:p>
        </w:tc>
        <w:tc>
          <w:tcPr>
            <w:tcW w:w="3320" w:type="dxa"/>
            <w:vAlign w:val="bottom"/>
          </w:tcPr>
          <w:p>
            <w:pPr>
              <w:jc w:val="right"/>
              <w:ind w:right="461"/>
              <w:spacing w:after="0"/>
              <w:rPr>
                <w:sz w:val="20"/>
                <w:szCs w:val="20"/>
                <w:color w:val="auto"/>
              </w:rPr>
            </w:pPr>
            <w:r>
              <w:rPr>
                <w:rFonts w:ascii="Arial" w:cs="Arial" w:eastAsia="Arial" w:hAnsi="Arial"/>
                <w:sz w:val="20"/>
                <w:szCs w:val="20"/>
                <w:color w:val="auto"/>
              </w:rPr>
              <w:t>610,000  </w:t>
            </w:r>
          </w:p>
        </w:tc>
        <w:tc>
          <w:tcPr>
            <w:tcW w:w="2000" w:type="dxa"/>
            <w:vAlign w:val="bottom"/>
          </w:tcPr>
          <w:p>
            <w:pPr>
              <w:jc w:val="center"/>
              <w:spacing w:after="0"/>
              <w:rPr>
                <w:sz w:val="20"/>
                <w:szCs w:val="20"/>
                <w:color w:val="auto"/>
              </w:rPr>
            </w:pPr>
            <w:r>
              <w:rPr>
                <w:rFonts w:ascii="Arial" w:cs="Arial" w:eastAsia="Arial" w:hAnsi="Arial"/>
                <w:sz w:val="20"/>
                <w:szCs w:val="20"/>
                <w:color w:val="auto"/>
                <w:w w:val="99"/>
              </w:rPr>
              <w:t>567,600</w:t>
            </w:r>
          </w:p>
        </w:tc>
        <w:tc>
          <w:tcPr>
            <w:tcW w:w="1840" w:type="dxa"/>
            <w:vAlign w:val="bottom"/>
          </w:tcPr>
          <w:p>
            <w:pPr>
              <w:jc w:val="right"/>
              <w:ind w:right="301"/>
              <w:spacing w:after="0"/>
              <w:rPr>
                <w:sz w:val="20"/>
                <w:szCs w:val="20"/>
                <w:color w:val="auto"/>
              </w:rPr>
            </w:pPr>
            <w:r>
              <w:rPr>
                <w:rFonts w:ascii="Arial" w:cs="Arial" w:eastAsia="Arial" w:hAnsi="Arial"/>
                <w:sz w:val="20"/>
                <w:szCs w:val="20"/>
                <w:color w:val="auto"/>
              </w:rPr>
              <w:t>7.5(3)</w:t>
            </w:r>
          </w:p>
        </w:tc>
      </w:tr>
      <w:tr>
        <w:trPr>
          <w:trHeight w:val="30"/>
        </w:trPr>
        <w:tc>
          <w:tcPr>
            <w:tcW w:w="38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7"/>
        </w:trPr>
        <w:tc>
          <w:tcPr>
            <w:tcW w:w="386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20"/>
                <w:szCs w:val="20"/>
                <w:color w:val="auto"/>
              </w:rPr>
              <w:t>  Indrani L. Franchini, J.D.(4)</w:t>
            </w:r>
          </w:p>
        </w:tc>
        <w:tc>
          <w:tcPr>
            <w:tcW w:w="3320" w:type="dxa"/>
            <w:vAlign w:val="bottom"/>
            <w:tcBorders>
              <w:bottom w:val="single" w:sz="8" w:color="D7E8F5"/>
            </w:tcBorders>
            <w:shd w:val="clear" w:color="auto" w:fill="D7E8F5"/>
          </w:tcPr>
          <w:p>
            <w:pPr>
              <w:jc w:val="right"/>
              <w:ind w:right="461"/>
              <w:spacing w:after="0"/>
              <w:rPr>
                <w:sz w:val="20"/>
                <w:szCs w:val="20"/>
                <w:color w:val="auto"/>
              </w:rPr>
            </w:pPr>
            <w:r>
              <w:rPr>
                <w:rFonts w:ascii="Arial" w:cs="Arial" w:eastAsia="Arial" w:hAnsi="Arial"/>
                <w:sz w:val="20"/>
                <w:szCs w:val="20"/>
                <w:color w:val="auto"/>
              </w:rPr>
              <w:t>597,000  </w:t>
            </w:r>
          </w:p>
        </w:tc>
        <w:tc>
          <w:tcPr>
            <w:tcW w:w="200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20"/>
                <w:szCs w:val="20"/>
                <w:color w:val="auto"/>
                <w:w w:val="99"/>
              </w:rPr>
              <w:t>580,000</w:t>
            </w:r>
          </w:p>
        </w:tc>
        <w:tc>
          <w:tcPr>
            <w:tcW w:w="1840" w:type="dxa"/>
            <w:vAlign w:val="bottom"/>
            <w:tcBorders>
              <w:bottom w:val="single" w:sz="8" w:color="D7E8F5"/>
            </w:tcBorders>
            <w:shd w:val="clear" w:color="auto" w:fill="D7E8F5"/>
          </w:tcPr>
          <w:p>
            <w:pPr>
              <w:jc w:val="right"/>
              <w:ind w:right="521"/>
              <w:spacing w:after="0"/>
              <w:rPr>
                <w:sz w:val="20"/>
                <w:szCs w:val="20"/>
                <w:color w:val="auto"/>
              </w:rPr>
            </w:pPr>
            <w:r>
              <w:rPr>
                <w:rFonts w:ascii="Arial" w:cs="Arial" w:eastAsia="Arial" w:hAnsi="Arial"/>
                <w:sz w:val="20"/>
                <w:szCs w:val="20"/>
                <w:color w:val="auto"/>
              </w:rPr>
              <w:t>2.9</w:t>
            </w:r>
          </w:p>
        </w:tc>
      </w:tr>
      <w:tr>
        <w:trPr>
          <w:trHeight w:val="267"/>
        </w:trPr>
        <w:tc>
          <w:tcPr>
            <w:tcW w:w="3860" w:type="dxa"/>
            <w:vAlign w:val="bottom"/>
          </w:tcPr>
          <w:p>
            <w:pPr>
              <w:spacing w:after="0"/>
              <w:rPr>
                <w:sz w:val="20"/>
                <w:szCs w:val="20"/>
                <w:color w:val="auto"/>
              </w:rPr>
            </w:pPr>
            <w:r>
              <w:rPr>
                <w:rFonts w:ascii="Arial" w:cs="Arial" w:eastAsia="Arial" w:hAnsi="Arial"/>
                <w:sz w:val="20"/>
                <w:szCs w:val="20"/>
                <w:color w:val="auto"/>
              </w:rPr>
              <w:t>  Akshay K. Vaishnaw, M.D., Ph.D.(5)</w:t>
            </w:r>
          </w:p>
        </w:tc>
        <w:tc>
          <w:tcPr>
            <w:tcW w:w="3320" w:type="dxa"/>
            <w:vAlign w:val="bottom"/>
          </w:tcPr>
          <w:p>
            <w:pPr>
              <w:jc w:val="right"/>
              <w:ind w:right="461"/>
              <w:spacing w:after="0"/>
              <w:rPr>
                <w:sz w:val="20"/>
                <w:szCs w:val="20"/>
                <w:color w:val="auto"/>
              </w:rPr>
            </w:pPr>
            <w:r>
              <w:rPr>
                <w:rFonts w:ascii="Arial" w:cs="Arial" w:eastAsia="Arial" w:hAnsi="Arial"/>
                <w:sz w:val="20"/>
                <w:szCs w:val="20"/>
                <w:color w:val="auto"/>
              </w:rPr>
              <w:t>754,000  </w:t>
            </w:r>
          </w:p>
        </w:tc>
        <w:tc>
          <w:tcPr>
            <w:tcW w:w="2000" w:type="dxa"/>
            <w:vAlign w:val="bottom"/>
          </w:tcPr>
          <w:p>
            <w:pPr>
              <w:jc w:val="center"/>
              <w:spacing w:after="0"/>
              <w:rPr>
                <w:sz w:val="20"/>
                <w:szCs w:val="20"/>
                <w:color w:val="auto"/>
              </w:rPr>
            </w:pPr>
            <w:r>
              <w:rPr>
                <w:rFonts w:ascii="Arial" w:cs="Arial" w:eastAsia="Arial" w:hAnsi="Arial"/>
                <w:sz w:val="20"/>
                <w:szCs w:val="20"/>
                <w:color w:val="auto"/>
                <w:w w:val="99"/>
              </w:rPr>
              <w:t>725,000</w:t>
            </w:r>
          </w:p>
        </w:tc>
        <w:tc>
          <w:tcPr>
            <w:tcW w:w="1840" w:type="dxa"/>
            <w:vAlign w:val="bottom"/>
          </w:tcPr>
          <w:p>
            <w:pPr>
              <w:jc w:val="right"/>
              <w:ind w:right="521"/>
              <w:spacing w:after="0"/>
              <w:rPr>
                <w:sz w:val="20"/>
                <w:szCs w:val="20"/>
                <w:color w:val="auto"/>
              </w:rPr>
            </w:pPr>
            <w:r>
              <w:rPr>
                <w:rFonts w:ascii="Arial" w:cs="Arial" w:eastAsia="Arial" w:hAnsi="Arial"/>
                <w:sz w:val="20"/>
                <w:szCs w:val="20"/>
                <w:color w:val="auto"/>
              </w:rPr>
              <w:t>4.0</w:t>
            </w:r>
          </w:p>
        </w:tc>
      </w:tr>
      <w:tr>
        <w:trPr>
          <w:trHeight w:val="30"/>
        </w:trPr>
        <w:tc>
          <w:tcPr>
            <w:tcW w:w="3860" w:type="dxa"/>
            <w:vAlign w:val="bottom"/>
            <w:tcBorders>
              <w:bottom w:val="single" w:sz="8" w:color="2275B5"/>
            </w:tcBorders>
          </w:tcPr>
          <w:p>
            <w:pPr>
              <w:spacing w:after="0"/>
              <w:rPr>
                <w:sz w:val="2"/>
                <w:szCs w:val="2"/>
                <w:color w:val="auto"/>
              </w:rPr>
            </w:pPr>
          </w:p>
        </w:tc>
        <w:tc>
          <w:tcPr>
            <w:tcW w:w="3320" w:type="dxa"/>
            <w:vAlign w:val="bottom"/>
            <w:tcBorders>
              <w:bottom w:val="single" w:sz="8" w:color="2275B5"/>
            </w:tcBorders>
          </w:tcPr>
          <w:p>
            <w:pPr>
              <w:spacing w:after="0"/>
              <w:rPr>
                <w:sz w:val="2"/>
                <w:szCs w:val="2"/>
                <w:color w:val="auto"/>
              </w:rPr>
            </w:pPr>
          </w:p>
        </w:tc>
        <w:tc>
          <w:tcPr>
            <w:tcW w:w="2000" w:type="dxa"/>
            <w:vAlign w:val="bottom"/>
            <w:tcBorders>
              <w:bottom w:val="single" w:sz="8" w:color="2275B5"/>
            </w:tcBorders>
          </w:tcPr>
          <w:p>
            <w:pPr>
              <w:spacing w:after="0"/>
              <w:rPr>
                <w:sz w:val="2"/>
                <w:szCs w:val="2"/>
                <w:color w:val="auto"/>
              </w:rPr>
            </w:pPr>
          </w:p>
        </w:tc>
        <w:tc>
          <w:tcPr>
            <w:tcW w:w="1840" w:type="dxa"/>
            <w:vAlign w:val="bottom"/>
            <w:tcBorders>
              <w:bottom w:val="single" w:sz="8" w:color="2275B5"/>
            </w:tcBorders>
          </w:tcPr>
          <w:p>
            <w:pPr>
              <w:spacing w:after="0"/>
              <w:rPr>
                <w:sz w:val="2"/>
                <w:szCs w:val="2"/>
                <w:color w:val="auto"/>
              </w:rPr>
            </w:pPr>
          </w:p>
        </w:tc>
      </w:tr>
    </w:tbl>
    <w:p>
      <w:pPr>
        <w:spacing w:after="0" w:line="229"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a market adjustment of 11.6% to address a gap in Dr. Greenstreet’s base salary relative to the market median.</w:t>
      </w:r>
    </w:p>
    <w:p>
      <w:pPr>
        <w:spacing w:after="0" w:line="248" w:lineRule="exact"/>
        <w:rPr>
          <w:rFonts w:ascii="Arial" w:cs="Arial" w:eastAsia="Arial" w:hAnsi="Arial"/>
          <w:sz w:val="16"/>
          <w:szCs w:val="16"/>
          <w:color w:val="auto"/>
        </w:rPr>
      </w:pPr>
    </w:p>
    <w:p>
      <w:pPr>
        <w:ind w:left="540" w:hanging="424"/>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a market adjustment of 2.2% to address a gap in Mr. Poulton’s base salary relative to the market median.</w:t>
      </w:r>
    </w:p>
    <w:p>
      <w:pPr>
        <w:spacing w:after="0" w:line="248" w:lineRule="exact"/>
        <w:rPr>
          <w:rFonts w:ascii="Arial" w:cs="Arial" w:eastAsia="Arial" w:hAnsi="Arial"/>
          <w:sz w:val="16"/>
          <w:szCs w:val="16"/>
          <w:color w:val="auto"/>
        </w:rPr>
      </w:pPr>
    </w:p>
    <w:p>
      <w:pPr>
        <w:ind w:left="540" w:hanging="424"/>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a market adjustment of 2.0% to address a gap in Mr. Tanguler’s base salary relative to the market median.</w:t>
      </w:r>
    </w:p>
    <w:p>
      <w:pPr>
        <w:spacing w:after="0" w:line="248" w:lineRule="exact"/>
        <w:rPr>
          <w:rFonts w:ascii="Arial" w:cs="Arial" w:eastAsia="Arial" w:hAnsi="Arial"/>
          <w:sz w:val="16"/>
          <w:szCs w:val="16"/>
          <w:color w:val="auto"/>
        </w:rPr>
      </w:pPr>
    </w:p>
    <w:p>
      <w:pPr>
        <w:ind w:left="540" w:hanging="424"/>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Ms. Franchini’s employment with us terminated effective March 1, 2024.</w:t>
      </w:r>
    </w:p>
    <w:p>
      <w:pPr>
        <w:spacing w:after="0" w:line="248" w:lineRule="exact"/>
        <w:rPr>
          <w:rFonts w:ascii="Arial" w:cs="Arial" w:eastAsia="Arial" w:hAnsi="Arial"/>
          <w:sz w:val="16"/>
          <w:szCs w:val="16"/>
          <w:color w:val="auto"/>
        </w:rPr>
      </w:pPr>
    </w:p>
    <w:p>
      <w:pPr>
        <w:ind w:left="540" w:right="80" w:hanging="424"/>
        <w:spacing w:after="0" w:line="286"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Dr. Vaishnaw ceased serving as an executive officer effective October 2, 2023 when he transitioned from the role of President to a part-time role as Chief Innovation Officer and at which time his base salary was adjusted to $377,000.</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Short-Term Incentives—2023 Annual Incentive Program</w:t>
      </w:r>
    </w:p>
    <w:p>
      <w:pPr>
        <w:spacing w:after="0" w:line="202" w:lineRule="exact"/>
        <w:rPr>
          <w:sz w:val="20"/>
          <w:szCs w:val="20"/>
          <w:color w:val="auto"/>
        </w:rPr>
      </w:pPr>
    </w:p>
    <w:p>
      <w:pPr>
        <w:ind w:left="120" w:right="140" w:firstLine="771"/>
        <w:spacing w:after="0" w:line="234" w:lineRule="auto"/>
        <w:rPr>
          <w:sz w:val="20"/>
          <w:szCs w:val="20"/>
          <w:color w:val="auto"/>
        </w:rPr>
      </w:pPr>
      <w:r>
        <w:rPr>
          <w:rFonts w:ascii="Arial" w:cs="Arial" w:eastAsia="Arial" w:hAnsi="Arial"/>
          <w:sz w:val="20"/>
          <w:szCs w:val="20"/>
          <w:color w:val="auto"/>
        </w:rPr>
        <w:t>Annual cash incentives are paid to our NEOs through our Annual Incentive Program, or AIP. Our AIP design is intended to align NEOs’ interests directly with our corporate goals. For 2023, management proposed, and the PC&amp;C committee and board reviewed and approved, corporate goals in the following categories: Advance our Culture; Pipeline and Development; and Commercial Objectives. These categories, and the underlying metrics used to measure the company’s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20"/>
        <w:spacing w:after="0" w:line="221" w:lineRule="auto"/>
        <w:rPr>
          <w:sz w:val="20"/>
          <w:szCs w:val="20"/>
          <w:color w:val="auto"/>
        </w:rPr>
      </w:pPr>
      <w:r>
        <w:rPr>
          <w:rFonts w:ascii="Arial" w:cs="Arial" w:eastAsia="Arial" w:hAnsi="Arial"/>
          <w:sz w:val="20"/>
          <w:szCs w:val="20"/>
          <w:color w:val="auto"/>
        </w:rPr>
        <w:t xml:space="preserve">against such goals, represent a broad array of short-term achievements that the company believes are critical in the aggregate to the company fulfilling our </w:t>
      </w:r>
      <w:r>
        <w:rPr>
          <w:rFonts w:ascii="Arial" w:cs="Arial" w:eastAsia="Arial" w:hAnsi="Arial"/>
          <w:sz w:val="20"/>
          <w:szCs w:val="20"/>
          <w:i w:val="1"/>
          <w:iCs w:val="1"/>
          <w:color w:val="auto"/>
        </w:rPr>
        <w:t>P</w:t>
      </w:r>
      <w:r>
        <w:rPr>
          <w:rFonts w:ascii="Arial" w:cs="Arial" w:eastAsia="Arial" w:hAnsi="Arial"/>
          <w:sz w:val="29"/>
          <w:szCs w:val="29"/>
          <w:i w:val="1"/>
          <w:iCs w:val="1"/>
          <w:color w:val="auto"/>
          <w:vertAlign w:val="superscript"/>
        </w:rPr>
        <w:t>5</w:t>
      </w:r>
      <w:r>
        <w:rPr>
          <w:rFonts w:ascii="Arial" w:cs="Arial" w:eastAsia="Arial" w:hAnsi="Arial"/>
          <w:sz w:val="20"/>
          <w:szCs w:val="20"/>
          <w:i w:val="1"/>
          <w:iCs w:val="1"/>
          <w:color w:val="auto"/>
        </w:rPr>
        <w:t>x25</w:t>
      </w:r>
      <w:r>
        <w:rPr>
          <w:rFonts w:ascii="Arial" w:cs="Arial" w:eastAsia="Arial" w:hAnsi="Arial"/>
          <w:sz w:val="20"/>
          <w:szCs w:val="20"/>
          <w:color w:val="auto"/>
        </w:rPr>
        <w:t xml:space="preserve"> strategy and ultimately delivering long-term value to stockholders. The adopted goals represent milestones in our current evolutionary phase that the PC&amp;C committee and board believe are essential to building an infrastructure of talent, systems and capabilities that is necessary for the company to continue to grow and scale, expanding our pipeline to ensure additional opportunities for marketed products and continuing to drive strong growth in our commercial performance to ensure expansion of current therapies. In making its determination regarding awards under the AIP for our NEOs, the PC&amp;C committee and board considered our achievements against these goals, which were established in the first quarter of fiscal 2023. Based on its assessment of our performance after the close of the 2023 fiscal year, and as further set forth below, our PC&amp;C committee and board determined that we achieved a majority of our commercial goals, all of our culture and growth management goals, the majority of our early-and mid-stage pipeline and strategic infrastructure goals and, as described below, additional considerations that were not part of our pre-established goals but which represented significant achievements by the company during 2023. Based on this determination, the PC&amp;C committee recommended, and the board approved, a corporate performance modifier of 105%.</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1D3060"/>
        </w:rPr>
        <w:t>Annual Metrics and Goal Assessment</w:t>
      </w:r>
    </w:p>
    <w:p>
      <w:pPr>
        <w:spacing w:after="0" w:line="204" w:lineRule="exact"/>
        <w:rPr>
          <w:sz w:val="20"/>
          <w:szCs w:val="20"/>
          <w:color w:val="auto"/>
        </w:rPr>
      </w:pPr>
    </w:p>
    <w:p>
      <w:pPr>
        <w:ind w:left="120" w:right="320" w:firstLine="771"/>
        <w:spacing w:after="0" w:line="241" w:lineRule="auto"/>
        <w:rPr>
          <w:sz w:val="20"/>
          <w:szCs w:val="20"/>
          <w:color w:val="auto"/>
        </w:rPr>
      </w:pPr>
      <w:r>
        <w:rPr>
          <w:rFonts w:ascii="Arial" w:cs="Arial" w:eastAsia="Arial" w:hAnsi="Arial"/>
          <w:sz w:val="20"/>
          <w:szCs w:val="20"/>
          <w:color w:val="auto"/>
        </w:rPr>
        <w:t>The 2023 corporate goals approved by our board, the weighting ranges assigned to each goal, and our actual achievement against these corporate goals, as approved by our PC&amp;C committee and our board in determining our NEOs’ compensation, were as follows: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D3060"/>
        </w:rPr>
        <w:t>Annual Incentive Payout Matrix</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shd w:val="clear" w:color="auto" w:fill="1D3060"/>
          </w:tcPr>
          <w:p>
            <w:pPr>
              <w:spacing w:after="0"/>
              <w:rPr>
                <w:sz w:val="20"/>
                <w:szCs w:val="20"/>
                <w:color w:val="auto"/>
              </w:rPr>
            </w:pPr>
          </w:p>
        </w:tc>
        <w:tc>
          <w:tcPr>
            <w:tcW w:w="7200" w:type="dxa"/>
            <w:vAlign w:val="bottom"/>
            <w:shd w:val="clear" w:color="auto" w:fill="1D3060"/>
          </w:tcPr>
          <w:p>
            <w:pPr>
              <w:spacing w:after="0"/>
              <w:rPr>
                <w:sz w:val="20"/>
                <w:szCs w:val="20"/>
                <w:color w:val="auto"/>
              </w:rPr>
            </w:pPr>
          </w:p>
        </w:tc>
        <w:tc>
          <w:tcPr>
            <w:tcW w:w="1840" w:type="dxa"/>
            <w:vAlign w:val="bottom"/>
            <w:shd w:val="clear" w:color="auto" w:fill="1D3060"/>
          </w:tcPr>
          <w:p>
            <w:pPr>
              <w:jc w:val="right"/>
              <w:ind w:right="250"/>
              <w:spacing w:after="0"/>
              <w:rPr>
                <w:sz w:val="20"/>
                <w:szCs w:val="20"/>
                <w:color w:val="auto"/>
              </w:rPr>
            </w:pPr>
            <w:r>
              <w:rPr>
                <w:rFonts w:ascii="Arial" w:cs="Arial" w:eastAsia="Arial" w:hAnsi="Arial"/>
                <w:sz w:val="18"/>
                <w:szCs w:val="18"/>
                <w:b w:val="1"/>
                <w:bCs w:val="1"/>
                <w:color w:val="FFFFFF"/>
              </w:rPr>
              <w:t>Weighting</w:t>
            </w:r>
          </w:p>
        </w:tc>
        <w:tc>
          <w:tcPr>
            <w:tcW w:w="1480" w:type="dxa"/>
            <w:vAlign w:val="bottom"/>
            <w:shd w:val="clear" w:color="auto" w:fill="1D3060"/>
          </w:tcPr>
          <w:p>
            <w:pPr>
              <w:jc w:val="center"/>
              <w:ind w:left="170"/>
              <w:spacing w:after="0"/>
              <w:rPr>
                <w:sz w:val="20"/>
                <w:szCs w:val="20"/>
                <w:color w:val="auto"/>
              </w:rPr>
            </w:pPr>
            <w:r>
              <w:rPr>
                <w:rFonts w:ascii="Arial" w:cs="Arial" w:eastAsia="Arial" w:hAnsi="Arial"/>
                <w:sz w:val="18"/>
                <w:szCs w:val="18"/>
                <w:b w:val="1"/>
                <w:bCs w:val="1"/>
                <w:color w:val="FFFFFF"/>
                <w:w w:val="98"/>
              </w:rPr>
              <w:t>Actual</w:t>
            </w:r>
          </w:p>
        </w:tc>
      </w:tr>
      <w:tr>
        <w:trPr>
          <w:trHeight w:val="269"/>
        </w:trPr>
        <w:tc>
          <w:tcPr>
            <w:tcW w:w="7700" w:type="dxa"/>
            <w:vAlign w:val="bottom"/>
            <w:tcBorders>
              <w:bottom w:val="single" w:sz="8" w:color="1D3060"/>
            </w:tcBorders>
            <w:gridSpan w:val="2"/>
            <w:shd w:val="clear" w:color="auto" w:fill="1D3060"/>
          </w:tcPr>
          <w:p>
            <w:pPr>
              <w:spacing w:after="0"/>
              <w:rPr>
                <w:sz w:val="20"/>
                <w:szCs w:val="20"/>
                <w:color w:val="auto"/>
              </w:rPr>
            </w:pPr>
            <w:r>
              <w:rPr>
                <w:rFonts w:ascii="Arial" w:cs="Arial" w:eastAsia="Arial" w:hAnsi="Arial"/>
                <w:sz w:val="18"/>
                <w:szCs w:val="18"/>
                <w:b w:val="1"/>
                <w:bCs w:val="1"/>
                <w:color w:val="FFFFFF"/>
              </w:rPr>
              <w:t> Corporate Goal</w:t>
            </w:r>
          </w:p>
        </w:tc>
        <w:tc>
          <w:tcPr>
            <w:tcW w:w="1840" w:type="dxa"/>
            <w:vAlign w:val="bottom"/>
            <w:tcBorders>
              <w:bottom w:val="single" w:sz="8" w:color="1D3060"/>
            </w:tcBorders>
            <w:shd w:val="clear" w:color="auto" w:fill="1D3060"/>
          </w:tcPr>
          <w:p>
            <w:pPr>
              <w:jc w:val="right"/>
              <w:ind w:right="410"/>
              <w:spacing w:after="0"/>
              <w:rPr>
                <w:sz w:val="20"/>
                <w:szCs w:val="20"/>
                <w:color w:val="auto"/>
              </w:rPr>
            </w:pPr>
            <w:r>
              <w:rPr>
                <w:rFonts w:ascii="Arial" w:cs="Arial" w:eastAsia="Arial" w:hAnsi="Arial"/>
                <w:sz w:val="18"/>
                <w:szCs w:val="18"/>
                <w:b w:val="1"/>
                <w:bCs w:val="1"/>
                <w:color w:val="FFFFFF"/>
              </w:rPr>
              <w:t>Range</w:t>
            </w:r>
          </w:p>
        </w:tc>
        <w:tc>
          <w:tcPr>
            <w:tcW w:w="1480" w:type="dxa"/>
            <w:vAlign w:val="bottom"/>
            <w:tcBorders>
              <w:bottom w:val="single" w:sz="8" w:color="1D3060"/>
            </w:tcBorders>
            <w:shd w:val="clear" w:color="auto" w:fill="1D3060"/>
          </w:tcPr>
          <w:p>
            <w:pPr>
              <w:jc w:val="center"/>
              <w:ind w:left="130"/>
              <w:spacing w:after="0"/>
              <w:rPr>
                <w:sz w:val="20"/>
                <w:szCs w:val="20"/>
                <w:color w:val="auto"/>
              </w:rPr>
            </w:pPr>
            <w:r>
              <w:rPr>
                <w:rFonts w:ascii="Arial" w:cs="Arial" w:eastAsia="Arial" w:hAnsi="Arial"/>
                <w:sz w:val="18"/>
                <w:szCs w:val="18"/>
                <w:b w:val="1"/>
                <w:bCs w:val="1"/>
                <w:color w:val="FFFFFF"/>
                <w:w w:val="98"/>
              </w:rPr>
              <w:t> Achievement</w:t>
            </w:r>
          </w:p>
        </w:tc>
      </w:tr>
      <w:tr>
        <w:trPr>
          <w:trHeight w:val="238"/>
        </w:trPr>
        <w:tc>
          <w:tcPr>
            <w:tcW w:w="500" w:type="dxa"/>
            <w:vAlign w:val="bottom"/>
          </w:tcPr>
          <w:p>
            <w:pPr>
              <w:ind w:left="360"/>
              <w:spacing w:after="0"/>
              <w:rPr>
                <w:sz w:val="20"/>
                <w:szCs w:val="20"/>
                <w:color w:val="auto"/>
              </w:rPr>
            </w:pPr>
            <w:r>
              <w:rPr>
                <w:rFonts w:ascii="Arial" w:cs="Arial" w:eastAsia="Arial" w:hAnsi="Arial"/>
                <w:sz w:val="12"/>
                <w:szCs w:val="12"/>
                <w:color w:val="auto"/>
                <w:w w:val="73"/>
              </w:rPr>
              <w:t>• </w:t>
            </w:r>
          </w:p>
        </w:tc>
        <w:tc>
          <w:tcPr>
            <w:tcW w:w="7200" w:type="dxa"/>
            <w:vAlign w:val="bottom"/>
          </w:tcPr>
          <w:p>
            <w:pPr>
              <w:ind w:left="100"/>
              <w:spacing w:after="0"/>
              <w:rPr>
                <w:sz w:val="20"/>
                <w:szCs w:val="20"/>
                <w:color w:val="auto"/>
              </w:rPr>
            </w:pPr>
            <w:r>
              <w:rPr>
                <w:rFonts w:ascii="Arial" w:cs="Arial" w:eastAsia="Arial" w:hAnsi="Arial"/>
                <w:sz w:val="18"/>
                <w:szCs w:val="18"/>
                <w:color w:val="auto"/>
              </w:rPr>
              <w:t> Advance our Culture—Advance our Culture based on our values, and further integrate</w:t>
            </w: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9"/>
        </w:trPr>
        <w:tc>
          <w:tcPr>
            <w:tcW w:w="500" w:type="dxa"/>
            <w:vAlign w:val="bottom"/>
          </w:tcPr>
          <w:p>
            <w:pPr>
              <w:spacing w:after="0"/>
              <w:rPr>
                <w:sz w:val="20"/>
                <w:szCs w:val="20"/>
                <w:color w:val="auto"/>
              </w:rPr>
            </w:pPr>
          </w:p>
        </w:tc>
        <w:tc>
          <w:tcPr>
            <w:tcW w:w="7200" w:type="dxa"/>
            <w:vAlign w:val="bottom"/>
          </w:tcPr>
          <w:p>
            <w:pPr>
              <w:ind w:left="120"/>
              <w:spacing w:after="0"/>
              <w:rPr>
                <w:sz w:val="20"/>
                <w:szCs w:val="20"/>
                <w:color w:val="auto"/>
              </w:rPr>
            </w:pPr>
            <w:r>
              <w:rPr>
                <w:rFonts w:ascii="Arial" w:cs="Arial" w:eastAsia="Arial" w:hAnsi="Arial"/>
                <w:sz w:val="18"/>
                <w:szCs w:val="18"/>
                <w:color w:val="auto"/>
              </w:rPr>
              <w:t>People, Capabilities and Processes</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20% - 30%</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9"/>
              </w:rPr>
              <w:t>25%</w:t>
            </w:r>
          </w:p>
        </w:tc>
      </w:tr>
      <w:tr>
        <w:trPr>
          <w:trHeight w:val="274"/>
        </w:trPr>
        <w:tc>
          <w:tcPr>
            <w:tcW w:w="500" w:type="dxa"/>
            <w:vAlign w:val="bottom"/>
          </w:tcPr>
          <w:p>
            <w:pPr>
              <w:spacing w:after="0"/>
              <w:rPr>
                <w:sz w:val="23"/>
                <w:szCs w:val="23"/>
                <w:color w:val="auto"/>
              </w:rPr>
            </w:pPr>
          </w:p>
        </w:tc>
        <w:tc>
          <w:tcPr>
            <w:tcW w:w="7200" w:type="dxa"/>
            <w:vAlign w:val="bottom"/>
          </w:tcPr>
          <w:p>
            <w:pPr>
              <w:ind w:left="22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xml:space="preserve">   Ensure organizational growth and scale while cultivating our desired, globally-</w:t>
            </w:r>
          </w:p>
        </w:tc>
        <w:tc>
          <w:tcPr>
            <w:tcW w:w="18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9"/>
        </w:trPr>
        <w:tc>
          <w:tcPr>
            <w:tcW w:w="500" w:type="dxa"/>
            <w:vAlign w:val="bottom"/>
          </w:tcPr>
          <w:p>
            <w:pPr>
              <w:spacing w:after="0"/>
              <w:rPr>
                <w:sz w:val="20"/>
                <w:szCs w:val="20"/>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aligned culture</w:t>
            </w: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7"/>
        </w:trPr>
        <w:tc>
          <w:tcPr>
            <w:tcW w:w="500" w:type="dxa"/>
            <w:vAlign w:val="bottom"/>
          </w:tcPr>
          <w:p>
            <w:pPr>
              <w:spacing w:after="0"/>
              <w:rPr>
                <w:sz w:val="22"/>
                <w:szCs w:val="22"/>
                <w:color w:val="auto"/>
              </w:rPr>
            </w:pPr>
          </w:p>
        </w:tc>
        <w:tc>
          <w:tcPr>
            <w:tcW w:w="7200" w:type="dxa"/>
            <w:vAlign w:val="bottom"/>
          </w:tcPr>
          <w:p>
            <w:pPr>
              <w:ind w:left="22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xml:space="preserve">   Advance our culture of integrity, quality &amp; employee safety</w:t>
            </w:r>
          </w:p>
        </w:tc>
        <w:tc>
          <w:tcPr>
            <w:tcW w:w="18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37"/>
        </w:trPr>
        <w:tc>
          <w:tcPr>
            <w:tcW w:w="500" w:type="dxa"/>
            <w:vAlign w:val="bottom"/>
            <w:tcBorders>
              <w:bottom w:val="single" w:sz="8" w:color="2275B5"/>
            </w:tcBorders>
          </w:tcPr>
          <w:p>
            <w:pPr>
              <w:spacing w:after="0"/>
              <w:rPr>
                <w:sz w:val="3"/>
                <w:szCs w:val="3"/>
                <w:color w:val="auto"/>
              </w:rPr>
            </w:pPr>
          </w:p>
        </w:tc>
        <w:tc>
          <w:tcPr>
            <w:tcW w:w="7200" w:type="dxa"/>
            <w:vAlign w:val="bottom"/>
            <w:tcBorders>
              <w:bottom w:val="single" w:sz="8" w:color="2275B5"/>
            </w:tcBorders>
          </w:tcPr>
          <w:p>
            <w:pPr>
              <w:spacing w:after="0"/>
              <w:rPr>
                <w:sz w:val="3"/>
                <w:szCs w:val="3"/>
                <w:color w:val="auto"/>
              </w:rPr>
            </w:pPr>
          </w:p>
        </w:tc>
        <w:tc>
          <w:tcPr>
            <w:tcW w:w="1840" w:type="dxa"/>
            <w:vAlign w:val="bottom"/>
            <w:tcBorders>
              <w:bottom w:val="single" w:sz="8" w:color="2275B5"/>
            </w:tcBorders>
          </w:tcPr>
          <w:p>
            <w:pPr>
              <w:spacing w:after="0"/>
              <w:rPr>
                <w:sz w:val="3"/>
                <w:szCs w:val="3"/>
                <w:color w:val="auto"/>
              </w:rPr>
            </w:pPr>
          </w:p>
        </w:tc>
        <w:tc>
          <w:tcPr>
            <w:tcW w:w="1480" w:type="dxa"/>
            <w:vAlign w:val="bottom"/>
            <w:tcBorders>
              <w:bottom w:val="single" w:sz="8" w:color="2275B5"/>
            </w:tcBorders>
          </w:tcPr>
          <w:p>
            <w:pPr>
              <w:spacing w:after="0"/>
              <w:rPr>
                <w:sz w:val="3"/>
                <w:szCs w:val="3"/>
                <w:color w:val="auto"/>
              </w:rPr>
            </w:pPr>
          </w:p>
        </w:tc>
      </w:tr>
      <w:tr>
        <w:trPr>
          <w:trHeight w:val="218"/>
        </w:trPr>
        <w:tc>
          <w:tcPr>
            <w:tcW w:w="500" w:type="dxa"/>
            <w:vAlign w:val="bottom"/>
          </w:tcPr>
          <w:p>
            <w:pPr>
              <w:ind w:left="360"/>
              <w:spacing w:after="0"/>
              <w:rPr>
                <w:sz w:val="20"/>
                <w:szCs w:val="20"/>
                <w:color w:val="auto"/>
              </w:rPr>
            </w:pPr>
            <w:r>
              <w:rPr>
                <w:rFonts w:ascii="Arial" w:cs="Arial" w:eastAsia="Arial" w:hAnsi="Arial"/>
                <w:sz w:val="12"/>
                <w:szCs w:val="12"/>
                <w:color w:val="auto"/>
                <w:w w:val="73"/>
              </w:rPr>
              <w:t>• </w:t>
            </w:r>
          </w:p>
        </w:tc>
        <w:tc>
          <w:tcPr>
            <w:tcW w:w="7200" w:type="dxa"/>
            <w:vAlign w:val="bottom"/>
          </w:tcPr>
          <w:p>
            <w:pPr>
              <w:ind w:left="100"/>
              <w:spacing w:after="0"/>
              <w:rPr>
                <w:sz w:val="20"/>
                <w:szCs w:val="20"/>
                <w:color w:val="auto"/>
              </w:rPr>
            </w:pPr>
            <w:r>
              <w:rPr>
                <w:rFonts w:ascii="Arial" w:cs="Arial" w:eastAsia="Arial" w:hAnsi="Arial"/>
                <w:sz w:val="18"/>
                <w:szCs w:val="18"/>
                <w:color w:val="auto"/>
              </w:rPr>
              <w:t> Pipeline and Development—Progress our early pipeline and platform efforts on the</w:t>
            </w:r>
          </w:p>
        </w:tc>
        <w:tc>
          <w:tcPr>
            <w:tcW w:w="18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500" w:type="dxa"/>
            <w:vAlign w:val="bottom"/>
          </w:tcPr>
          <w:p>
            <w:pPr>
              <w:spacing w:after="0"/>
              <w:rPr>
                <w:sz w:val="17"/>
                <w:szCs w:val="17"/>
                <w:color w:val="auto"/>
              </w:rPr>
            </w:pPr>
          </w:p>
        </w:tc>
        <w:tc>
          <w:tcPr>
            <w:tcW w:w="7200" w:type="dxa"/>
            <w:vAlign w:val="bottom"/>
          </w:tcPr>
          <w:p>
            <w:pPr>
              <w:ind w:left="120"/>
              <w:spacing w:after="0" w:line="202" w:lineRule="exact"/>
              <w:rPr>
                <w:sz w:val="20"/>
                <w:szCs w:val="20"/>
                <w:color w:val="auto"/>
              </w:rPr>
            </w:pPr>
            <w:r>
              <w:rPr>
                <w:rFonts w:ascii="Arial" w:cs="Arial" w:eastAsia="Arial" w:hAnsi="Arial"/>
                <w:sz w:val="18"/>
                <w:szCs w:val="18"/>
                <w:color w:val="auto"/>
              </w:rPr>
              <w:t>leading edge of RNAi technology and advance our development programs to deliver</w:t>
            </w: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9"/>
        </w:trPr>
        <w:tc>
          <w:tcPr>
            <w:tcW w:w="500" w:type="dxa"/>
            <w:vAlign w:val="bottom"/>
          </w:tcPr>
          <w:p>
            <w:pPr>
              <w:spacing w:after="0"/>
              <w:rPr>
                <w:sz w:val="20"/>
                <w:szCs w:val="20"/>
                <w:color w:val="auto"/>
              </w:rPr>
            </w:pPr>
          </w:p>
        </w:tc>
        <w:tc>
          <w:tcPr>
            <w:tcW w:w="7200" w:type="dxa"/>
            <w:vAlign w:val="bottom"/>
          </w:tcPr>
          <w:p>
            <w:pPr>
              <w:ind w:left="120"/>
              <w:spacing w:after="0"/>
              <w:rPr>
                <w:sz w:val="20"/>
                <w:szCs w:val="20"/>
                <w:color w:val="auto"/>
              </w:rPr>
            </w:pPr>
            <w:r>
              <w:rPr>
                <w:rFonts w:ascii="Arial" w:cs="Arial" w:eastAsia="Arial" w:hAnsi="Arial"/>
                <w:sz w:val="18"/>
                <w:szCs w:val="18"/>
                <w:color w:val="auto"/>
              </w:rPr>
              <w:t>transformative medicines to our patients</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40% - 60%</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9"/>
              </w:rPr>
              <w:t>37%</w:t>
            </w:r>
          </w:p>
        </w:tc>
      </w:tr>
      <w:tr>
        <w:trPr>
          <w:trHeight w:val="310"/>
        </w:trPr>
        <w:tc>
          <w:tcPr>
            <w:tcW w:w="500" w:type="dxa"/>
            <w:vAlign w:val="bottom"/>
          </w:tcPr>
          <w:p>
            <w:pPr>
              <w:spacing w:after="0"/>
              <w:rPr>
                <w:sz w:val="24"/>
                <w:szCs w:val="24"/>
                <w:color w:val="auto"/>
              </w:rPr>
            </w:pPr>
          </w:p>
        </w:tc>
        <w:tc>
          <w:tcPr>
            <w:tcW w:w="7200" w:type="dxa"/>
            <w:vAlign w:val="bottom"/>
          </w:tcPr>
          <w:p>
            <w:pPr>
              <w:ind w:left="22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xml:space="preserve">   Ensure readiness of early pipeline programs towards CTAs</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4"/>
        </w:trPr>
        <w:tc>
          <w:tcPr>
            <w:tcW w:w="500" w:type="dxa"/>
            <w:vAlign w:val="bottom"/>
          </w:tcPr>
          <w:p>
            <w:pPr>
              <w:spacing w:after="0"/>
              <w:rPr>
                <w:sz w:val="23"/>
                <w:szCs w:val="23"/>
                <w:color w:val="auto"/>
              </w:rPr>
            </w:pPr>
          </w:p>
        </w:tc>
        <w:tc>
          <w:tcPr>
            <w:tcW w:w="7200" w:type="dxa"/>
            <w:vAlign w:val="bottom"/>
          </w:tcPr>
          <w:p>
            <w:pPr>
              <w:ind w:left="22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xml:space="preserve">   Continue to define the leading edge of RNAi therapeutics with extrahepatic</w:t>
            </w:r>
          </w:p>
        </w:tc>
        <w:tc>
          <w:tcPr>
            <w:tcW w:w="18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9"/>
        </w:trPr>
        <w:tc>
          <w:tcPr>
            <w:tcW w:w="500" w:type="dxa"/>
            <w:vAlign w:val="bottom"/>
          </w:tcPr>
          <w:p>
            <w:pPr>
              <w:spacing w:after="0"/>
              <w:rPr>
                <w:sz w:val="20"/>
                <w:szCs w:val="20"/>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expansion</w:t>
            </w: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
        </w:trPr>
        <w:tc>
          <w:tcPr>
            <w:tcW w:w="500" w:type="dxa"/>
            <w:vAlign w:val="bottom"/>
            <w:tcBorders>
              <w:bottom w:val="single" w:sz="8" w:color="2275B5"/>
            </w:tcBorders>
          </w:tcPr>
          <w:p>
            <w:pPr>
              <w:spacing w:after="0"/>
              <w:rPr>
                <w:sz w:val="3"/>
                <w:szCs w:val="3"/>
                <w:color w:val="auto"/>
              </w:rPr>
            </w:pPr>
          </w:p>
        </w:tc>
        <w:tc>
          <w:tcPr>
            <w:tcW w:w="7200" w:type="dxa"/>
            <w:vAlign w:val="bottom"/>
            <w:tcBorders>
              <w:bottom w:val="single" w:sz="8" w:color="2275B5"/>
            </w:tcBorders>
          </w:tcPr>
          <w:p>
            <w:pPr>
              <w:spacing w:after="0"/>
              <w:rPr>
                <w:sz w:val="3"/>
                <w:szCs w:val="3"/>
                <w:color w:val="auto"/>
              </w:rPr>
            </w:pPr>
          </w:p>
        </w:tc>
        <w:tc>
          <w:tcPr>
            <w:tcW w:w="1840" w:type="dxa"/>
            <w:vAlign w:val="bottom"/>
            <w:tcBorders>
              <w:bottom w:val="single" w:sz="8" w:color="2275B5"/>
            </w:tcBorders>
          </w:tcPr>
          <w:p>
            <w:pPr>
              <w:spacing w:after="0"/>
              <w:rPr>
                <w:sz w:val="3"/>
                <w:szCs w:val="3"/>
                <w:color w:val="auto"/>
              </w:rPr>
            </w:pPr>
          </w:p>
        </w:tc>
        <w:tc>
          <w:tcPr>
            <w:tcW w:w="1480" w:type="dxa"/>
            <w:vAlign w:val="bottom"/>
            <w:tcBorders>
              <w:bottom w:val="single" w:sz="8" w:color="2275B5"/>
            </w:tcBorders>
          </w:tcPr>
          <w:p>
            <w:pPr>
              <w:spacing w:after="0"/>
              <w:rPr>
                <w:sz w:val="3"/>
                <w:szCs w:val="3"/>
                <w:color w:val="auto"/>
              </w:rPr>
            </w:pPr>
          </w:p>
        </w:tc>
      </w:tr>
      <w:tr>
        <w:trPr>
          <w:trHeight w:val="254"/>
        </w:trPr>
        <w:tc>
          <w:tcPr>
            <w:tcW w:w="500" w:type="dxa"/>
            <w:vAlign w:val="bottom"/>
          </w:tcPr>
          <w:p>
            <w:pPr>
              <w:ind w:left="360"/>
              <w:spacing w:after="0"/>
              <w:rPr>
                <w:sz w:val="20"/>
                <w:szCs w:val="20"/>
                <w:color w:val="auto"/>
              </w:rPr>
            </w:pPr>
            <w:r>
              <w:rPr>
                <w:rFonts w:ascii="Arial" w:cs="Arial" w:eastAsia="Arial" w:hAnsi="Arial"/>
                <w:sz w:val="12"/>
                <w:szCs w:val="12"/>
                <w:color w:val="auto"/>
                <w:w w:val="73"/>
              </w:rPr>
              <w:t>• </w:t>
            </w:r>
          </w:p>
        </w:tc>
        <w:tc>
          <w:tcPr>
            <w:tcW w:w="7200" w:type="dxa"/>
            <w:vAlign w:val="bottom"/>
          </w:tcPr>
          <w:p>
            <w:pPr>
              <w:ind w:left="100"/>
              <w:spacing w:after="0"/>
              <w:rPr>
                <w:sz w:val="20"/>
                <w:szCs w:val="20"/>
                <w:color w:val="auto"/>
              </w:rPr>
            </w:pPr>
            <w:r>
              <w:rPr>
                <w:rFonts w:ascii="Arial" w:cs="Arial" w:eastAsia="Arial" w:hAnsi="Arial"/>
                <w:sz w:val="18"/>
                <w:szCs w:val="18"/>
                <w:color w:val="auto"/>
              </w:rPr>
              <w:t> Commercial Objectives—Execute on key commercial objectives, including:</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40% - 60%</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9"/>
              </w:rPr>
              <w:t>38%</w:t>
            </w:r>
          </w:p>
        </w:tc>
      </w:tr>
      <w:tr>
        <w:trPr>
          <w:trHeight w:val="274"/>
        </w:trPr>
        <w:tc>
          <w:tcPr>
            <w:tcW w:w="500" w:type="dxa"/>
            <w:vAlign w:val="bottom"/>
          </w:tcPr>
          <w:p>
            <w:pPr>
              <w:spacing w:after="0"/>
              <w:rPr>
                <w:sz w:val="23"/>
                <w:szCs w:val="23"/>
                <w:color w:val="auto"/>
              </w:rPr>
            </w:pPr>
          </w:p>
        </w:tc>
        <w:tc>
          <w:tcPr>
            <w:tcW w:w="7200" w:type="dxa"/>
            <w:vAlign w:val="bottom"/>
          </w:tcPr>
          <w:p>
            <w:pPr>
              <w:ind w:left="22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xml:space="preserve">   Achieve ONPATTRO, AMVUTTRA, GIVLAARI, and OXLUMO commercial success,</w:t>
            </w:r>
          </w:p>
        </w:tc>
        <w:tc>
          <w:tcPr>
            <w:tcW w:w="18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9"/>
        </w:trPr>
        <w:tc>
          <w:tcPr>
            <w:tcW w:w="500" w:type="dxa"/>
            <w:vAlign w:val="bottom"/>
          </w:tcPr>
          <w:p>
            <w:pPr>
              <w:spacing w:after="0"/>
              <w:rPr>
                <w:sz w:val="20"/>
                <w:szCs w:val="20"/>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focusing on patient impact</w:t>
            </w: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1"/>
        </w:trPr>
        <w:tc>
          <w:tcPr>
            <w:tcW w:w="500" w:type="dxa"/>
            <w:vAlign w:val="bottom"/>
          </w:tcPr>
          <w:p>
            <w:pPr>
              <w:spacing w:after="0"/>
              <w:rPr>
                <w:sz w:val="24"/>
                <w:szCs w:val="24"/>
                <w:color w:val="auto"/>
              </w:rPr>
            </w:pPr>
          </w:p>
        </w:tc>
        <w:tc>
          <w:tcPr>
            <w:tcW w:w="7200" w:type="dxa"/>
            <w:vAlign w:val="bottom"/>
          </w:tcPr>
          <w:p>
            <w:pPr>
              <w:ind w:left="22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xml:space="preserve">   Execute on our Medical Strategy</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0"/>
        </w:trPr>
        <w:tc>
          <w:tcPr>
            <w:tcW w:w="500" w:type="dxa"/>
            <w:vAlign w:val="bottom"/>
          </w:tcPr>
          <w:p>
            <w:pPr>
              <w:spacing w:after="0"/>
              <w:rPr>
                <w:sz w:val="24"/>
                <w:szCs w:val="24"/>
                <w:color w:val="auto"/>
              </w:rPr>
            </w:pPr>
          </w:p>
        </w:tc>
        <w:tc>
          <w:tcPr>
            <w:tcW w:w="7200" w:type="dxa"/>
            <w:vAlign w:val="bottom"/>
          </w:tcPr>
          <w:p>
            <w:pPr>
              <w:ind w:left="22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xml:space="preserve">   Achieve key financial targets</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
        </w:trPr>
        <w:tc>
          <w:tcPr>
            <w:tcW w:w="500" w:type="dxa"/>
            <w:vAlign w:val="bottom"/>
            <w:tcBorders>
              <w:bottom w:val="single" w:sz="8" w:color="2275B5"/>
            </w:tcBorders>
          </w:tcPr>
          <w:p>
            <w:pPr>
              <w:spacing w:after="0"/>
              <w:rPr>
                <w:sz w:val="3"/>
                <w:szCs w:val="3"/>
                <w:color w:val="auto"/>
              </w:rPr>
            </w:pPr>
          </w:p>
        </w:tc>
        <w:tc>
          <w:tcPr>
            <w:tcW w:w="7200" w:type="dxa"/>
            <w:vAlign w:val="bottom"/>
            <w:tcBorders>
              <w:bottom w:val="single" w:sz="8" w:color="2275B5"/>
            </w:tcBorders>
          </w:tcPr>
          <w:p>
            <w:pPr>
              <w:spacing w:after="0"/>
              <w:rPr>
                <w:sz w:val="3"/>
                <w:szCs w:val="3"/>
                <w:color w:val="auto"/>
              </w:rPr>
            </w:pPr>
          </w:p>
        </w:tc>
        <w:tc>
          <w:tcPr>
            <w:tcW w:w="1840" w:type="dxa"/>
            <w:vAlign w:val="bottom"/>
            <w:tcBorders>
              <w:bottom w:val="single" w:sz="8" w:color="2275B5"/>
            </w:tcBorders>
          </w:tcPr>
          <w:p>
            <w:pPr>
              <w:spacing w:after="0"/>
              <w:rPr>
                <w:sz w:val="3"/>
                <w:szCs w:val="3"/>
                <w:color w:val="auto"/>
              </w:rPr>
            </w:pPr>
          </w:p>
        </w:tc>
        <w:tc>
          <w:tcPr>
            <w:tcW w:w="1480" w:type="dxa"/>
            <w:vAlign w:val="bottom"/>
            <w:tcBorders>
              <w:bottom w:val="single" w:sz="8" w:color="2275B5"/>
            </w:tcBorders>
          </w:tcPr>
          <w:p>
            <w:pPr>
              <w:spacing w:after="0"/>
              <w:rPr>
                <w:sz w:val="3"/>
                <w:szCs w:val="3"/>
                <w:color w:val="auto"/>
              </w:rPr>
            </w:pPr>
          </w:p>
        </w:tc>
      </w:tr>
      <w:tr>
        <w:trPr>
          <w:trHeight w:val="254"/>
        </w:trPr>
        <w:tc>
          <w:tcPr>
            <w:tcW w:w="500" w:type="dxa"/>
            <w:vAlign w:val="bottom"/>
          </w:tcPr>
          <w:p>
            <w:pPr>
              <w:ind w:left="360"/>
              <w:spacing w:after="0"/>
              <w:rPr>
                <w:sz w:val="20"/>
                <w:szCs w:val="20"/>
                <w:color w:val="auto"/>
              </w:rPr>
            </w:pPr>
            <w:r>
              <w:rPr>
                <w:rFonts w:ascii="Arial" w:cs="Arial" w:eastAsia="Arial" w:hAnsi="Arial"/>
                <w:sz w:val="12"/>
                <w:szCs w:val="12"/>
                <w:color w:val="auto"/>
                <w:w w:val="73"/>
              </w:rPr>
              <w:t>• </w:t>
            </w:r>
          </w:p>
        </w:tc>
        <w:tc>
          <w:tcPr>
            <w:tcW w:w="7200" w:type="dxa"/>
            <w:vAlign w:val="bottom"/>
          </w:tcPr>
          <w:p>
            <w:pPr>
              <w:ind w:left="100"/>
              <w:spacing w:after="0"/>
              <w:rPr>
                <w:sz w:val="20"/>
                <w:szCs w:val="20"/>
                <w:color w:val="auto"/>
              </w:rPr>
            </w:pPr>
            <w:r>
              <w:rPr>
                <w:rFonts w:ascii="Arial" w:cs="Arial" w:eastAsia="Arial" w:hAnsi="Arial"/>
                <w:sz w:val="18"/>
                <w:szCs w:val="18"/>
                <w:color w:val="auto"/>
              </w:rPr>
              <w:t> Additional considerations</w:t>
            </w:r>
          </w:p>
        </w:tc>
        <w:tc>
          <w:tcPr>
            <w:tcW w:w="1840" w:type="dxa"/>
            <w:vAlign w:val="bottom"/>
          </w:tcPr>
          <w:p>
            <w:pPr>
              <w:spacing w:after="0"/>
              <w:rPr>
                <w:sz w:val="22"/>
                <w:szCs w:val="22"/>
                <w:color w:val="auto"/>
              </w:rPr>
            </w:pPr>
          </w:p>
        </w:tc>
        <w:tc>
          <w:tcPr>
            <w:tcW w:w="1480" w:type="dxa"/>
            <w:vAlign w:val="bottom"/>
          </w:tcPr>
          <w:p>
            <w:pPr>
              <w:jc w:val="center"/>
              <w:ind w:left="170"/>
              <w:spacing w:after="0"/>
              <w:rPr>
                <w:sz w:val="20"/>
                <w:szCs w:val="20"/>
                <w:color w:val="auto"/>
              </w:rPr>
            </w:pPr>
            <w:r>
              <w:rPr>
                <w:rFonts w:ascii="Arial" w:cs="Arial" w:eastAsia="Arial" w:hAnsi="Arial"/>
                <w:sz w:val="18"/>
                <w:szCs w:val="18"/>
                <w:color w:val="auto"/>
              </w:rPr>
              <w:t>5%*</w:t>
            </w:r>
          </w:p>
        </w:tc>
      </w:tr>
      <w:tr>
        <w:trPr>
          <w:trHeight w:val="37"/>
        </w:trPr>
        <w:tc>
          <w:tcPr>
            <w:tcW w:w="500" w:type="dxa"/>
            <w:vAlign w:val="bottom"/>
            <w:tcBorders>
              <w:bottom w:val="single" w:sz="8" w:color="1D3060"/>
            </w:tcBorders>
          </w:tcPr>
          <w:p>
            <w:pPr>
              <w:spacing w:after="0"/>
              <w:rPr>
                <w:sz w:val="3"/>
                <w:szCs w:val="3"/>
                <w:color w:val="auto"/>
              </w:rPr>
            </w:pPr>
          </w:p>
        </w:tc>
        <w:tc>
          <w:tcPr>
            <w:tcW w:w="7200" w:type="dxa"/>
            <w:vAlign w:val="bottom"/>
            <w:tcBorders>
              <w:bottom w:val="single" w:sz="8" w:color="1D3060"/>
            </w:tcBorders>
          </w:tcPr>
          <w:p>
            <w:pPr>
              <w:spacing w:after="0"/>
              <w:rPr>
                <w:sz w:val="3"/>
                <w:szCs w:val="3"/>
                <w:color w:val="auto"/>
              </w:rPr>
            </w:pPr>
          </w:p>
        </w:tc>
        <w:tc>
          <w:tcPr>
            <w:tcW w:w="1840" w:type="dxa"/>
            <w:vAlign w:val="bottom"/>
            <w:tcBorders>
              <w:bottom w:val="single" w:sz="8" w:color="1D3060"/>
            </w:tcBorders>
          </w:tcPr>
          <w:p>
            <w:pPr>
              <w:spacing w:after="0"/>
              <w:rPr>
                <w:sz w:val="3"/>
                <w:szCs w:val="3"/>
                <w:color w:val="auto"/>
              </w:rPr>
            </w:pPr>
          </w:p>
        </w:tc>
        <w:tc>
          <w:tcPr>
            <w:tcW w:w="1480" w:type="dxa"/>
            <w:vAlign w:val="bottom"/>
            <w:tcBorders>
              <w:bottom w:val="single" w:sz="8" w:color="1D3060"/>
            </w:tcBorders>
          </w:tcPr>
          <w:p>
            <w:pPr>
              <w:spacing w:after="0"/>
              <w:rPr>
                <w:sz w:val="3"/>
                <w:szCs w:val="3"/>
                <w:color w:val="auto"/>
              </w:rPr>
            </w:pPr>
          </w:p>
        </w:tc>
      </w:tr>
      <w:tr>
        <w:trPr>
          <w:trHeight w:val="303"/>
        </w:trPr>
        <w:tc>
          <w:tcPr>
            <w:tcW w:w="500" w:type="dxa"/>
            <w:vAlign w:val="bottom"/>
            <w:tcBorders>
              <w:bottom w:val="single" w:sz="8" w:color="ACBACA"/>
            </w:tcBorders>
            <w:shd w:val="clear" w:color="auto" w:fill="ACBACA"/>
          </w:tcPr>
          <w:p>
            <w:pPr>
              <w:spacing w:after="0"/>
              <w:rPr>
                <w:sz w:val="24"/>
                <w:szCs w:val="24"/>
                <w:color w:val="auto"/>
              </w:rPr>
            </w:pPr>
          </w:p>
        </w:tc>
        <w:tc>
          <w:tcPr>
            <w:tcW w:w="7200" w:type="dxa"/>
            <w:vAlign w:val="bottom"/>
            <w:tcBorders>
              <w:bottom w:val="single" w:sz="8" w:color="ACBACA"/>
            </w:tcBorders>
            <w:shd w:val="clear" w:color="auto" w:fill="ACBACA"/>
          </w:tcPr>
          <w:p>
            <w:pPr>
              <w:ind w:left="40"/>
              <w:spacing w:after="0"/>
              <w:rPr>
                <w:sz w:val="20"/>
                <w:szCs w:val="20"/>
                <w:color w:val="auto"/>
              </w:rPr>
            </w:pPr>
            <w:r>
              <w:rPr>
                <w:rFonts w:ascii="Arial" w:cs="Arial" w:eastAsia="Arial" w:hAnsi="Arial"/>
                <w:sz w:val="18"/>
                <w:szCs w:val="18"/>
                <w:b w:val="1"/>
                <w:bCs w:val="1"/>
                <w:color w:val="auto"/>
              </w:rPr>
              <w:t>Approved 2023 Corporate Performance Modifier for NEOs</w:t>
            </w:r>
          </w:p>
        </w:tc>
        <w:tc>
          <w:tcPr>
            <w:tcW w:w="1840" w:type="dxa"/>
            <w:vAlign w:val="bottom"/>
            <w:tcBorders>
              <w:bottom w:val="single" w:sz="8" w:color="ACBACA"/>
            </w:tcBorders>
            <w:shd w:val="clear" w:color="auto" w:fill="ACBACA"/>
          </w:tcPr>
          <w:p>
            <w:pPr>
              <w:jc w:val="right"/>
              <w:ind w:right="170"/>
              <w:spacing w:after="0"/>
              <w:rPr>
                <w:sz w:val="20"/>
                <w:szCs w:val="20"/>
                <w:color w:val="auto"/>
              </w:rPr>
            </w:pPr>
            <w:r>
              <w:rPr>
                <w:rFonts w:ascii="Arial" w:cs="Arial" w:eastAsia="Arial" w:hAnsi="Arial"/>
                <w:sz w:val="18"/>
                <w:szCs w:val="18"/>
                <w:b w:val="1"/>
                <w:bCs w:val="1"/>
                <w:color w:val="auto"/>
              </w:rPr>
              <w:t>100% - 150%</w:t>
            </w:r>
          </w:p>
        </w:tc>
        <w:tc>
          <w:tcPr>
            <w:tcW w:w="1480" w:type="dxa"/>
            <w:vAlign w:val="bottom"/>
            <w:tcBorders>
              <w:bottom w:val="single" w:sz="8" w:color="ACBACA"/>
            </w:tcBorders>
            <w:shd w:val="clear" w:color="auto" w:fill="ACBACA"/>
          </w:tcPr>
          <w:p>
            <w:pPr>
              <w:jc w:val="center"/>
              <w:ind w:left="170"/>
              <w:spacing w:after="0"/>
              <w:rPr>
                <w:sz w:val="20"/>
                <w:szCs w:val="20"/>
                <w:color w:val="auto"/>
              </w:rPr>
            </w:pPr>
            <w:r>
              <w:rPr>
                <w:rFonts w:ascii="Arial" w:cs="Arial" w:eastAsia="Arial" w:hAnsi="Arial"/>
                <w:sz w:val="18"/>
                <w:szCs w:val="18"/>
                <w:b w:val="1"/>
                <w:bCs w:val="1"/>
                <w:color w:val="auto"/>
                <w:w w:val="99"/>
              </w:rPr>
              <w:t>105%</w:t>
            </w:r>
          </w:p>
        </w:tc>
      </w:tr>
      <w:tr>
        <w:trPr>
          <w:trHeight w:val="155"/>
        </w:trPr>
        <w:tc>
          <w:tcPr>
            <w:tcW w:w="500" w:type="dxa"/>
            <w:vAlign w:val="bottom"/>
            <w:tcBorders>
              <w:top w:val="single" w:sz="8" w:color="1D3060"/>
              <w:bottom w:val="single" w:sz="8" w:color="1D3060"/>
            </w:tcBorders>
          </w:tcPr>
          <w:p>
            <w:pPr>
              <w:spacing w:after="0"/>
              <w:rPr>
                <w:sz w:val="13"/>
                <w:szCs w:val="13"/>
                <w:color w:val="auto"/>
              </w:rPr>
            </w:pPr>
          </w:p>
        </w:tc>
        <w:tc>
          <w:tcPr>
            <w:tcW w:w="7200" w:type="dxa"/>
            <w:vAlign w:val="bottom"/>
            <w:tcBorders>
              <w:top w:val="single" w:sz="8" w:color="1D3060"/>
              <w:bottom w:val="single" w:sz="8" w:color="1D3060"/>
            </w:tcBorders>
          </w:tcPr>
          <w:p>
            <w:pPr>
              <w:spacing w:after="0"/>
              <w:rPr>
                <w:sz w:val="13"/>
                <w:szCs w:val="13"/>
                <w:color w:val="auto"/>
              </w:rPr>
            </w:pPr>
          </w:p>
        </w:tc>
        <w:tc>
          <w:tcPr>
            <w:tcW w:w="1840" w:type="dxa"/>
            <w:vAlign w:val="bottom"/>
            <w:tcBorders>
              <w:top w:val="single" w:sz="8" w:color="1D3060"/>
              <w:bottom w:val="single" w:sz="8" w:color="1D3060"/>
            </w:tcBorders>
          </w:tcPr>
          <w:p>
            <w:pPr>
              <w:spacing w:after="0"/>
              <w:rPr>
                <w:sz w:val="13"/>
                <w:szCs w:val="13"/>
                <w:color w:val="auto"/>
              </w:rPr>
            </w:pPr>
          </w:p>
        </w:tc>
        <w:tc>
          <w:tcPr>
            <w:tcW w:w="1480" w:type="dxa"/>
            <w:vAlign w:val="bottom"/>
            <w:tcBorders>
              <w:top w:val="single" w:sz="8" w:color="1D3060"/>
              <w:bottom w:val="single" w:sz="8" w:color="1D3060"/>
            </w:tcBorders>
          </w:tcPr>
          <w:p>
            <w:pPr>
              <w:spacing w:after="0"/>
              <w:rPr>
                <w:sz w:val="13"/>
                <w:szCs w:val="13"/>
                <w:color w:val="auto"/>
              </w:rPr>
            </w:pPr>
          </w:p>
        </w:tc>
      </w:tr>
    </w:tbl>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right="60" w:hanging="424"/>
        <w:spacing w:after="0" w:line="256"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an additional 5% allocated by the PC&amp;C committee and our board of directors in recognition of exemplary performance not reflected in the 2023 Corporate Goals relating to (i) the entry into our strategic collaboration with Roche pursuant to which we established a worldwide, strategic collaboration for the joint development and commercialization of zilebesiran; and (ii) the successful conclusion and closure, with no action taken, of the investigations by the U.S. Department of Justice and the U.S. Attorney’s Office for the District of Massachusetts relating to our marketing and promotion of ONPATTRO in the United States.</w:t>
      </w:r>
    </w:p>
    <w:p>
      <w:pPr>
        <w:spacing w:after="0" w:line="172" w:lineRule="exact"/>
        <w:rPr>
          <w:sz w:val="20"/>
          <w:szCs w:val="20"/>
          <w:color w:val="auto"/>
        </w:rPr>
      </w:pPr>
    </w:p>
    <w:p>
      <w:pPr>
        <w:ind w:left="120" w:right="100" w:firstLine="771"/>
        <w:spacing w:after="0" w:line="229" w:lineRule="auto"/>
        <w:rPr>
          <w:sz w:val="20"/>
          <w:szCs w:val="20"/>
          <w:color w:val="auto"/>
        </w:rPr>
      </w:pPr>
      <w:r>
        <w:rPr>
          <w:rFonts w:ascii="Arial" w:cs="Arial" w:eastAsia="Arial" w:hAnsi="Arial"/>
          <w:sz w:val="20"/>
          <w:szCs w:val="20"/>
          <w:color w:val="auto"/>
        </w:rPr>
        <w:t>With respect to the Advance our Culture goal, the PC&amp;C committee and board determined that we achieved above target after consideration of our attrition, which was well below industry average, significant investments made in infrastructure and systems which are creating a foundation upon which we can grow and scale, and our achievement of C+ Prime designation in ISS ESG ratings, which was well above our peers. With respect to the Pipeline and Development goal, the PC&amp;C committee and board considered our target performance with respect to drug development candidates, pre-clinical proof of concept for adipose delivery, and positive phase 2 data for zilebesiran, but determined that we achieved below target overall for this goal due to our failure to achieve regulatory approval for patisiran for the treatment of patients with ATTR amyloidosis with cardiomyopathy. With respect to the Commercial Objectives goal, the PC&amp;C committee and board considered our slightly above target performance on net product revenue and combined R&amp;D and SG&amp;A operating expenses but determined that we achieved below target overall for this goal due to our one-year stockholder return compared to peers and the increased cost of goods sold as a percentage of net product revenues.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1D3060"/>
        </w:rPr>
        <w:t>Calculation of Annual Cash Incentives</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Annual cash incentives were calculated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6995160" cy="37465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374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right="280" w:hanging="424"/>
        <w:spacing w:after="0" w:line="256"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2023 corporate performance level is below 50%, the corporate performance modifier would be 0%, and no awards would be granted under the AIP.</w:t>
      </w:r>
    </w:p>
    <w:p>
      <w:pPr>
        <w:spacing w:after="0" w:line="1"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board and/or PC&amp;C committee has the discretion to adjust the AIP payouts as it deems appropriate.</w:t>
      </w:r>
    </w:p>
    <w:p>
      <w:pPr>
        <w:spacing w:after="0" w:line="198" w:lineRule="exact"/>
        <w:rPr>
          <w:sz w:val="20"/>
          <w:szCs w:val="20"/>
          <w:color w:val="auto"/>
        </w:rPr>
      </w:pPr>
    </w:p>
    <w:p>
      <w:pPr>
        <w:ind w:left="120" w:right="40" w:firstLine="771"/>
        <w:spacing w:after="0" w:line="233" w:lineRule="auto"/>
        <w:rPr>
          <w:sz w:val="20"/>
          <w:szCs w:val="20"/>
          <w:color w:val="auto"/>
        </w:rPr>
      </w:pPr>
      <w:r>
        <w:rPr>
          <w:rFonts w:ascii="Arial" w:cs="Arial" w:eastAsia="Arial" w:hAnsi="Arial"/>
          <w:sz w:val="20"/>
          <w:szCs w:val="20"/>
          <w:color w:val="auto"/>
        </w:rPr>
        <w:t>In February 2023, the PC&amp;C committee approved target awards for our NEOs under the 2023 AIP, including the opportunity for our NEOs to achieve incentive awards above established bonus targets based on the company’s performance against 2023 corporate goals. For purposes of determining 2023 target bonus opportunities for our NEOs, the PC&amp;C committee, with the assistance of its compensation consultant, reviewed market data for each of our NEOs and determined to adjust each of their target bonus opportunities by increasing the respective NEOs’ target opportunity by 10% for our CEO and 5% for our other NEOs.</w:t>
      </w:r>
    </w:p>
    <w:p>
      <w:pPr>
        <w:spacing w:after="0" w:line="172" w:lineRule="exact"/>
        <w:rPr>
          <w:sz w:val="20"/>
          <w:szCs w:val="20"/>
          <w:color w:val="auto"/>
        </w:rPr>
      </w:pPr>
    </w:p>
    <w:p>
      <w:pPr>
        <w:ind w:left="120" w:right="140" w:firstLine="771"/>
        <w:spacing w:after="0" w:line="257" w:lineRule="auto"/>
        <w:rPr>
          <w:sz w:val="20"/>
          <w:szCs w:val="20"/>
          <w:color w:val="auto"/>
        </w:rPr>
      </w:pPr>
      <w:r>
        <w:rPr>
          <w:rFonts w:ascii="Arial" w:cs="Arial" w:eastAsia="Arial" w:hAnsi="Arial"/>
          <w:sz w:val="20"/>
          <w:szCs w:val="20"/>
          <w:color w:val="auto"/>
        </w:rPr>
        <w:t>Each potential AIP award ranged from 0% to 150% of the NEO’s target award, and thus 150% of each NEO’s target award was the maximum AIP award achievable in the event we exceeded all of our corporate goals.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table below shows (1) the target AIP award opportunity as a percentage of each NEO’s annual base salary,</w:t>
      </w:r>
    </w:p>
    <w:p>
      <w:pPr>
        <w:spacing w:after="0" w:line="4" w:lineRule="exact"/>
        <w:rPr>
          <w:sz w:val="20"/>
          <w:szCs w:val="20"/>
          <w:color w:val="auto"/>
        </w:rPr>
      </w:pPr>
    </w:p>
    <w:p>
      <w:pPr>
        <w:jc w:val="both"/>
        <w:ind w:left="120" w:right="220" w:hanging="4"/>
        <w:spacing w:after="0" w:line="234" w:lineRule="auto"/>
        <w:tabs>
          <w:tab w:leader="none" w:pos="417"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AIP award opportunity assuming all corporate goals were met; (3) the maximum AIP award opportunity assuming all corporate goals were exceeded; (4) the actual 2023 AIP awards for each NEO, which were paid in March, 2024; and (5) the actual AIP award paid as a percentage of the respective NEO’s target AIP award opportunity.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D3060"/>
        </w:rPr>
        <w:t>2023 Annual Incentive Plan Awards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520" w:type="dxa"/>
            <w:vAlign w:val="bottom"/>
            <w:shd w:val="clear" w:color="auto" w:fill="1D3060"/>
          </w:tcPr>
          <w:p>
            <w:pPr>
              <w:spacing w:after="0"/>
              <w:rPr>
                <w:sz w:val="17"/>
                <w:szCs w:val="17"/>
                <w:color w:val="auto"/>
              </w:rPr>
            </w:pPr>
          </w:p>
        </w:tc>
        <w:tc>
          <w:tcPr>
            <w:tcW w:w="1700" w:type="dxa"/>
            <w:vAlign w:val="bottom"/>
            <w:shd w:val="clear" w:color="auto" w:fill="1D3060"/>
          </w:tcPr>
          <w:p>
            <w:pPr>
              <w:spacing w:after="0"/>
              <w:rPr>
                <w:sz w:val="17"/>
                <w:szCs w:val="17"/>
                <w:color w:val="auto"/>
              </w:rPr>
            </w:pPr>
          </w:p>
        </w:tc>
        <w:tc>
          <w:tcPr>
            <w:tcW w:w="1860" w:type="dxa"/>
            <w:vAlign w:val="bottom"/>
            <w:shd w:val="clear" w:color="auto" w:fill="1D3060"/>
          </w:tcPr>
          <w:p>
            <w:pPr>
              <w:spacing w:after="0"/>
              <w:rPr>
                <w:sz w:val="17"/>
                <w:szCs w:val="17"/>
                <w:color w:val="auto"/>
              </w:rPr>
            </w:pPr>
          </w:p>
        </w:tc>
        <w:tc>
          <w:tcPr>
            <w:tcW w:w="1280" w:type="dxa"/>
            <w:vAlign w:val="bottom"/>
            <w:shd w:val="clear" w:color="auto" w:fill="1D3060"/>
          </w:tcPr>
          <w:p>
            <w:pPr>
              <w:spacing w:after="0"/>
              <w:rPr>
                <w:sz w:val="17"/>
                <w:szCs w:val="17"/>
                <w:color w:val="auto"/>
              </w:rPr>
            </w:pPr>
          </w:p>
        </w:tc>
        <w:tc>
          <w:tcPr>
            <w:tcW w:w="1200" w:type="dxa"/>
            <w:vAlign w:val="bottom"/>
            <w:shd w:val="clear" w:color="auto" w:fill="1D3060"/>
          </w:tcPr>
          <w:p>
            <w:pPr>
              <w:spacing w:after="0"/>
              <w:rPr>
                <w:sz w:val="17"/>
                <w:szCs w:val="17"/>
                <w:color w:val="auto"/>
              </w:rPr>
            </w:pPr>
          </w:p>
        </w:tc>
        <w:tc>
          <w:tcPr>
            <w:tcW w:w="146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2023</w:t>
            </w:r>
          </w:p>
        </w:tc>
      </w:tr>
      <w:tr>
        <w:trPr>
          <w:trHeight w:val="203"/>
        </w:trPr>
        <w:tc>
          <w:tcPr>
            <w:tcW w:w="3520" w:type="dxa"/>
            <w:vAlign w:val="bottom"/>
            <w:shd w:val="clear" w:color="auto" w:fill="1D3060"/>
          </w:tcPr>
          <w:p>
            <w:pPr>
              <w:spacing w:after="0"/>
              <w:rPr>
                <w:sz w:val="17"/>
                <w:szCs w:val="17"/>
                <w:color w:val="auto"/>
              </w:rPr>
            </w:pPr>
          </w:p>
        </w:tc>
        <w:tc>
          <w:tcPr>
            <w:tcW w:w="1700" w:type="dxa"/>
            <w:vAlign w:val="bottom"/>
            <w:shd w:val="clear" w:color="auto" w:fill="1D3060"/>
          </w:tcPr>
          <w:p>
            <w:pPr>
              <w:spacing w:after="0"/>
              <w:rPr>
                <w:sz w:val="17"/>
                <w:szCs w:val="17"/>
                <w:color w:val="auto"/>
              </w:rPr>
            </w:pPr>
          </w:p>
        </w:tc>
        <w:tc>
          <w:tcPr>
            <w:tcW w:w="1860" w:type="dxa"/>
            <w:vAlign w:val="bottom"/>
            <w:shd w:val="clear" w:color="auto" w:fill="1D3060"/>
          </w:tcPr>
          <w:p>
            <w:pPr>
              <w:spacing w:after="0"/>
              <w:rPr>
                <w:sz w:val="17"/>
                <w:szCs w:val="17"/>
                <w:color w:val="auto"/>
              </w:rPr>
            </w:pPr>
          </w:p>
        </w:tc>
        <w:tc>
          <w:tcPr>
            <w:tcW w:w="1280" w:type="dxa"/>
            <w:vAlign w:val="bottom"/>
            <w:shd w:val="clear" w:color="auto" w:fill="1D3060"/>
          </w:tcPr>
          <w:p>
            <w:pPr>
              <w:spacing w:after="0"/>
              <w:rPr>
                <w:sz w:val="17"/>
                <w:szCs w:val="17"/>
                <w:color w:val="auto"/>
              </w:rPr>
            </w:pPr>
          </w:p>
        </w:tc>
        <w:tc>
          <w:tcPr>
            <w:tcW w:w="1200" w:type="dxa"/>
            <w:vAlign w:val="bottom"/>
            <w:shd w:val="clear" w:color="auto" w:fill="1D3060"/>
          </w:tcPr>
          <w:p>
            <w:pPr>
              <w:spacing w:after="0"/>
              <w:rPr>
                <w:sz w:val="17"/>
                <w:szCs w:val="17"/>
                <w:color w:val="auto"/>
              </w:rPr>
            </w:pPr>
          </w:p>
        </w:tc>
        <w:tc>
          <w:tcPr>
            <w:tcW w:w="146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rPr>
              <w:t>Actual</w:t>
            </w:r>
          </w:p>
        </w:tc>
      </w:tr>
      <w:tr>
        <w:trPr>
          <w:trHeight w:val="203"/>
        </w:trPr>
        <w:tc>
          <w:tcPr>
            <w:tcW w:w="3520" w:type="dxa"/>
            <w:vAlign w:val="bottom"/>
            <w:shd w:val="clear" w:color="auto" w:fill="1D3060"/>
          </w:tcPr>
          <w:p>
            <w:pPr>
              <w:spacing w:after="0"/>
              <w:rPr>
                <w:sz w:val="17"/>
                <w:szCs w:val="17"/>
                <w:color w:val="auto"/>
              </w:rPr>
            </w:pPr>
          </w:p>
        </w:tc>
        <w:tc>
          <w:tcPr>
            <w:tcW w:w="17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9"/>
              </w:rPr>
              <w:t>2023</w:t>
            </w:r>
          </w:p>
        </w:tc>
        <w:tc>
          <w:tcPr>
            <w:tcW w:w="186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9"/>
              </w:rPr>
              <w:t>2023</w:t>
            </w:r>
          </w:p>
        </w:tc>
        <w:tc>
          <w:tcPr>
            <w:tcW w:w="1280" w:type="dxa"/>
            <w:vAlign w:val="bottom"/>
            <w:shd w:val="clear" w:color="auto" w:fill="1D3060"/>
          </w:tcPr>
          <w:p>
            <w:pPr>
              <w:jc w:val="right"/>
              <w:ind w:right="270"/>
              <w:spacing w:after="0" w:line="202" w:lineRule="exact"/>
              <w:rPr>
                <w:sz w:val="20"/>
                <w:szCs w:val="20"/>
                <w:color w:val="auto"/>
              </w:rPr>
            </w:pPr>
            <w:r>
              <w:rPr>
                <w:rFonts w:ascii="Arial" w:cs="Arial" w:eastAsia="Arial" w:hAnsi="Arial"/>
                <w:sz w:val="18"/>
                <w:szCs w:val="18"/>
                <w:b w:val="1"/>
                <w:bCs w:val="1"/>
                <w:color w:val="FFFFFF"/>
              </w:rPr>
              <w:t>2023</w:t>
            </w:r>
          </w:p>
        </w:tc>
        <w:tc>
          <w:tcPr>
            <w:tcW w:w="12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9"/>
              </w:rPr>
              <w:t>2023</w:t>
            </w:r>
          </w:p>
        </w:tc>
        <w:tc>
          <w:tcPr>
            <w:tcW w:w="146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rPr>
              <w:t>AIP Payout</w:t>
            </w:r>
          </w:p>
        </w:tc>
      </w:tr>
      <w:tr>
        <w:trPr>
          <w:trHeight w:val="203"/>
        </w:trPr>
        <w:tc>
          <w:tcPr>
            <w:tcW w:w="3520" w:type="dxa"/>
            <w:vAlign w:val="bottom"/>
            <w:shd w:val="clear" w:color="auto" w:fill="1D3060"/>
          </w:tcPr>
          <w:p>
            <w:pPr>
              <w:spacing w:after="0"/>
              <w:rPr>
                <w:sz w:val="17"/>
                <w:szCs w:val="17"/>
                <w:color w:val="auto"/>
              </w:rPr>
            </w:pPr>
          </w:p>
        </w:tc>
        <w:tc>
          <w:tcPr>
            <w:tcW w:w="17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7"/>
              </w:rPr>
              <w:t>Target Award</w:t>
            </w:r>
          </w:p>
        </w:tc>
        <w:tc>
          <w:tcPr>
            <w:tcW w:w="186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8"/>
              </w:rPr>
              <w:t>Target</w:t>
            </w:r>
          </w:p>
        </w:tc>
        <w:tc>
          <w:tcPr>
            <w:tcW w:w="1280" w:type="dxa"/>
            <w:vAlign w:val="bottom"/>
            <w:shd w:val="clear" w:color="auto" w:fill="1D3060"/>
          </w:tcPr>
          <w:p>
            <w:pPr>
              <w:jc w:val="right"/>
              <w:ind w:right="50"/>
              <w:spacing w:after="0" w:line="202" w:lineRule="exact"/>
              <w:rPr>
                <w:sz w:val="20"/>
                <w:szCs w:val="20"/>
                <w:color w:val="auto"/>
              </w:rPr>
            </w:pPr>
            <w:r>
              <w:rPr>
                <w:rFonts w:ascii="Arial" w:cs="Arial" w:eastAsia="Arial" w:hAnsi="Arial"/>
                <w:sz w:val="18"/>
                <w:szCs w:val="18"/>
                <w:b w:val="1"/>
                <w:bCs w:val="1"/>
                <w:color w:val="FFFFFF"/>
              </w:rPr>
              <w:t>Maximum</w:t>
            </w:r>
          </w:p>
        </w:tc>
        <w:tc>
          <w:tcPr>
            <w:tcW w:w="12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8"/>
              </w:rPr>
              <w:t>Actual</w:t>
            </w:r>
          </w:p>
        </w:tc>
        <w:tc>
          <w:tcPr>
            <w:tcW w:w="146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8"/>
              </w:rPr>
              <w:t>(% of Target</w:t>
            </w:r>
          </w:p>
        </w:tc>
      </w:tr>
      <w:tr>
        <w:trPr>
          <w:trHeight w:val="203"/>
        </w:trPr>
        <w:tc>
          <w:tcPr>
            <w:tcW w:w="3520" w:type="dxa"/>
            <w:vAlign w:val="bottom"/>
            <w:shd w:val="clear" w:color="auto" w:fill="1D3060"/>
          </w:tcPr>
          <w:p>
            <w:pPr>
              <w:spacing w:after="0"/>
              <w:rPr>
                <w:sz w:val="17"/>
                <w:szCs w:val="17"/>
                <w:color w:val="auto"/>
              </w:rPr>
            </w:pPr>
          </w:p>
        </w:tc>
        <w:tc>
          <w:tcPr>
            <w:tcW w:w="17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9"/>
              </w:rPr>
              <w:t>(% of Base</w:t>
            </w:r>
          </w:p>
        </w:tc>
        <w:tc>
          <w:tcPr>
            <w:tcW w:w="186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8"/>
              </w:rPr>
              <w:t>Award</w:t>
            </w:r>
          </w:p>
        </w:tc>
        <w:tc>
          <w:tcPr>
            <w:tcW w:w="1280" w:type="dxa"/>
            <w:vAlign w:val="bottom"/>
            <w:shd w:val="clear" w:color="auto" w:fill="1D3060"/>
          </w:tcPr>
          <w:p>
            <w:pPr>
              <w:jc w:val="right"/>
              <w:ind w:right="190"/>
              <w:spacing w:after="0" w:line="202" w:lineRule="exact"/>
              <w:rPr>
                <w:sz w:val="20"/>
                <w:szCs w:val="20"/>
                <w:color w:val="auto"/>
              </w:rPr>
            </w:pPr>
            <w:r>
              <w:rPr>
                <w:rFonts w:ascii="Arial" w:cs="Arial" w:eastAsia="Arial" w:hAnsi="Arial"/>
                <w:sz w:val="18"/>
                <w:szCs w:val="18"/>
                <w:b w:val="1"/>
                <w:bCs w:val="1"/>
                <w:color w:val="FFFFFF"/>
              </w:rPr>
              <w:t>Award</w:t>
            </w:r>
          </w:p>
        </w:tc>
        <w:tc>
          <w:tcPr>
            <w:tcW w:w="12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9"/>
              </w:rPr>
              <w:t>AIP</w:t>
            </w:r>
          </w:p>
        </w:tc>
        <w:tc>
          <w:tcPr>
            <w:tcW w:w="146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8"/>
              </w:rPr>
              <w:t>Award</w:t>
            </w:r>
          </w:p>
        </w:tc>
      </w:tr>
      <w:tr>
        <w:trPr>
          <w:trHeight w:val="235"/>
        </w:trPr>
        <w:tc>
          <w:tcPr>
            <w:tcW w:w="3520" w:type="dxa"/>
            <w:vAlign w:val="bottom"/>
            <w:shd w:val="clear" w:color="auto" w:fill="1D3060"/>
          </w:tcPr>
          <w:p>
            <w:pPr>
              <w:spacing w:after="0"/>
              <w:rPr>
                <w:sz w:val="20"/>
                <w:szCs w:val="20"/>
                <w:color w:val="auto"/>
              </w:rPr>
            </w:pPr>
            <w:r>
              <w:rPr>
                <w:rFonts w:ascii="Arial" w:cs="Arial" w:eastAsia="Arial" w:hAnsi="Arial"/>
                <w:sz w:val="18"/>
                <w:szCs w:val="18"/>
                <w:b w:val="1"/>
                <w:bCs w:val="1"/>
                <w:color w:val="FFFFFF"/>
              </w:rPr>
              <w:t>Name</w:t>
            </w:r>
          </w:p>
        </w:tc>
        <w:tc>
          <w:tcPr>
            <w:tcW w:w="170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Salary)</w:t>
            </w:r>
          </w:p>
        </w:tc>
        <w:tc>
          <w:tcPr>
            <w:tcW w:w="186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rPr>
              <w:t>Opportunity($)</w:t>
            </w:r>
          </w:p>
        </w:tc>
        <w:tc>
          <w:tcPr>
            <w:tcW w:w="1280" w:type="dxa"/>
            <w:vAlign w:val="bottom"/>
            <w:shd w:val="clear" w:color="auto" w:fill="1D3060"/>
          </w:tcPr>
          <w:p>
            <w:pPr>
              <w:jc w:val="right"/>
              <w:ind w:right="250"/>
              <w:spacing w:after="0"/>
              <w:rPr>
                <w:sz w:val="20"/>
                <w:szCs w:val="20"/>
                <w:color w:val="auto"/>
              </w:rPr>
            </w:pPr>
            <w:r>
              <w:rPr>
                <w:rFonts w:ascii="Arial" w:cs="Arial" w:eastAsia="Arial" w:hAnsi="Arial"/>
                <w:sz w:val="18"/>
                <w:szCs w:val="18"/>
                <w:b w:val="1"/>
                <w:bCs w:val="1"/>
                <w:color w:val="FFFFFF"/>
              </w:rPr>
              <w:t>($)(1)</w:t>
            </w:r>
          </w:p>
        </w:tc>
        <w:tc>
          <w:tcPr>
            <w:tcW w:w="120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rPr>
              <w:t xml:space="preserve"> Payout($) </w:t>
            </w:r>
          </w:p>
        </w:tc>
        <w:tc>
          <w:tcPr>
            <w:tcW w:w="146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 Opportunity)</w:t>
            </w:r>
          </w:p>
        </w:tc>
      </w:tr>
      <w:tr>
        <w:trPr>
          <w:trHeight w:val="328"/>
        </w:trPr>
        <w:tc>
          <w:tcPr>
            <w:tcW w:w="3520" w:type="dxa"/>
            <w:vAlign w:val="bottom"/>
            <w:shd w:val="clear" w:color="auto" w:fill="D7E8F5"/>
          </w:tcPr>
          <w:p>
            <w:pPr>
              <w:spacing w:after="0"/>
              <w:rPr>
                <w:sz w:val="20"/>
                <w:szCs w:val="20"/>
                <w:color w:val="auto"/>
              </w:rPr>
            </w:pPr>
            <w:r>
              <w:rPr>
                <w:rFonts w:ascii="Arial" w:cs="Arial" w:eastAsia="Arial" w:hAnsi="Arial"/>
                <w:sz w:val="18"/>
                <w:szCs w:val="18"/>
                <w:color w:val="auto"/>
              </w:rPr>
              <w:t>Yvonne L. Greenstreet, MBChB, MBA</w:t>
            </w:r>
          </w:p>
        </w:tc>
        <w:tc>
          <w:tcPr>
            <w:tcW w:w="1700" w:type="dxa"/>
            <w:vAlign w:val="bottom"/>
            <w:shd w:val="clear" w:color="auto" w:fill="D7E8F5"/>
          </w:tcPr>
          <w:p>
            <w:pPr>
              <w:jc w:val="right"/>
              <w:ind w:right="610"/>
              <w:spacing w:after="0"/>
              <w:rPr>
                <w:sz w:val="20"/>
                <w:szCs w:val="20"/>
                <w:color w:val="auto"/>
              </w:rPr>
            </w:pPr>
            <w:r>
              <w:rPr>
                <w:rFonts w:ascii="Arial" w:cs="Arial" w:eastAsia="Arial" w:hAnsi="Arial"/>
                <w:sz w:val="18"/>
                <w:szCs w:val="18"/>
                <w:color w:val="auto"/>
              </w:rPr>
              <w:t>110</w:t>
            </w:r>
          </w:p>
        </w:tc>
        <w:tc>
          <w:tcPr>
            <w:tcW w:w="1860" w:type="dxa"/>
            <w:vAlign w:val="bottom"/>
            <w:shd w:val="clear" w:color="auto" w:fill="D7E8F5"/>
          </w:tcPr>
          <w:p>
            <w:pPr>
              <w:jc w:val="right"/>
              <w:ind w:right="390"/>
              <w:spacing w:after="0"/>
              <w:rPr>
                <w:sz w:val="20"/>
                <w:szCs w:val="20"/>
                <w:color w:val="auto"/>
              </w:rPr>
            </w:pPr>
            <w:r>
              <w:rPr>
                <w:rFonts w:ascii="Arial" w:cs="Arial" w:eastAsia="Arial" w:hAnsi="Arial"/>
                <w:sz w:val="18"/>
                <w:szCs w:val="18"/>
                <w:color w:val="auto"/>
              </w:rPr>
              <w:t>1,100,000</w:t>
            </w:r>
          </w:p>
        </w:tc>
        <w:tc>
          <w:tcPr>
            <w:tcW w:w="1280" w:type="dxa"/>
            <w:vAlign w:val="bottom"/>
            <w:shd w:val="clear" w:color="auto" w:fill="D7E8F5"/>
          </w:tcPr>
          <w:p>
            <w:pPr>
              <w:jc w:val="right"/>
              <w:ind w:right="30"/>
              <w:spacing w:after="0"/>
              <w:rPr>
                <w:sz w:val="20"/>
                <w:szCs w:val="20"/>
                <w:color w:val="auto"/>
              </w:rPr>
            </w:pPr>
            <w:r>
              <w:rPr>
                <w:rFonts w:ascii="Arial" w:cs="Arial" w:eastAsia="Arial" w:hAnsi="Arial"/>
                <w:sz w:val="18"/>
                <w:szCs w:val="18"/>
                <w:color w:val="auto"/>
              </w:rPr>
              <w:t>1,650,000</w:t>
            </w:r>
          </w:p>
        </w:tc>
        <w:tc>
          <w:tcPr>
            <w:tcW w:w="1200" w:type="dxa"/>
            <w:vAlign w:val="bottom"/>
            <w:shd w:val="clear" w:color="auto" w:fill="D7E8F5"/>
          </w:tcPr>
          <w:p>
            <w:pPr>
              <w:jc w:val="right"/>
              <w:ind w:right="110"/>
              <w:spacing w:after="0"/>
              <w:rPr>
                <w:sz w:val="20"/>
                <w:szCs w:val="20"/>
                <w:color w:val="auto"/>
              </w:rPr>
            </w:pPr>
            <w:r>
              <w:rPr>
                <w:rFonts w:ascii="Arial" w:cs="Arial" w:eastAsia="Arial" w:hAnsi="Arial"/>
                <w:sz w:val="18"/>
                <w:szCs w:val="18"/>
                <w:color w:val="auto"/>
              </w:rPr>
              <w:t>1,155,000</w:t>
            </w:r>
          </w:p>
        </w:tc>
        <w:tc>
          <w:tcPr>
            <w:tcW w:w="1460" w:type="dxa"/>
            <w:vAlign w:val="bottom"/>
            <w:shd w:val="clear" w:color="auto" w:fill="D7E8F5"/>
          </w:tcPr>
          <w:p>
            <w:pPr>
              <w:ind w:left="600"/>
              <w:spacing w:after="0"/>
              <w:rPr>
                <w:sz w:val="20"/>
                <w:szCs w:val="20"/>
                <w:color w:val="auto"/>
              </w:rPr>
            </w:pPr>
            <w:r>
              <w:rPr>
                <w:rFonts w:ascii="Arial" w:cs="Arial" w:eastAsia="Arial" w:hAnsi="Arial"/>
                <w:sz w:val="18"/>
                <w:szCs w:val="18"/>
                <w:color w:val="auto"/>
              </w:rPr>
              <w:t>105  </w:t>
            </w:r>
          </w:p>
        </w:tc>
      </w:tr>
      <w:tr>
        <w:trPr>
          <w:trHeight w:val="90"/>
        </w:trPr>
        <w:tc>
          <w:tcPr>
            <w:tcW w:w="3520" w:type="dxa"/>
            <w:vAlign w:val="bottom"/>
            <w:shd w:val="clear" w:color="auto" w:fill="D7E8F5"/>
          </w:tcPr>
          <w:p>
            <w:pPr>
              <w:spacing w:after="0"/>
              <w:rPr>
                <w:sz w:val="7"/>
                <w:szCs w:val="7"/>
                <w:color w:val="auto"/>
              </w:rPr>
            </w:pPr>
          </w:p>
        </w:tc>
        <w:tc>
          <w:tcPr>
            <w:tcW w:w="1700" w:type="dxa"/>
            <w:vAlign w:val="bottom"/>
            <w:shd w:val="clear" w:color="auto" w:fill="D7E8F5"/>
          </w:tcPr>
          <w:p>
            <w:pPr>
              <w:spacing w:after="0"/>
              <w:rPr>
                <w:sz w:val="7"/>
                <w:szCs w:val="7"/>
                <w:color w:val="auto"/>
              </w:rPr>
            </w:pPr>
          </w:p>
        </w:tc>
        <w:tc>
          <w:tcPr>
            <w:tcW w:w="1860" w:type="dxa"/>
            <w:vAlign w:val="bottom"/>
            <w:shd w:val="clear" w:color="auto" w:fill="D7E8F5"/>
          </w:tcPr>
          <w:p>
            <w:pPr>
              <w:spacing w:after="0"/>
              <w:rPr>
                <w:sz w:val="7"/>
                <w:szCs w:val="7"/>
                <w:color w:val="auto"/>
              </w:rPr>
            </w:pPr>
          </w:p>
        </w:tc>
        <w:tc>
          <w:tcPr>
            <w:tcW w:w="1280" w:type="dxa"/>
            <w:vAlign w:val="bottom"/>
            <w:shd w:val="clear" w:color="auto" w:fill="D7E8F5"/>
          </w:tcPr>
          <w:p>
            <w:pPr>
              <w:spacing w:after="0"/>
              <w:rPr>
                <w:sz w:val="7"/>
                <w:szCs w:val="7"/>
                <w:color w:val="auto"/>
              </w:rPr>
            </w:pPr>
          </w:p>
        </w:tc>
        <w:tc>
          <w:tcPr>
            <w:tcW w:w="1200" w:type="dxa"/>
            <w:vAlign w:val="bottom"/>
            <w:shd w:val="clear" w:color="auto" w:fill="D7E8F5"/>
          </w:tcPr>
          <w:p>
            <w:pPr>
              <w:spacing w:after="0"/>
              <w:rPr>
                <w:sz w:val="7"/>
                <w:szCs w:val="7"/>
                <w:color w:val="auto"/>
              </w:rPr>
            </w:pPr>
          </w:p>
        </w:tc>
        <w:tc>
          <w:tcPr>
            <w:tcW w:w="1460" w:type="dxa"/>
            <w:vAlign w:val="bottom"/>
            <w:shd w:val="clear" w:color="auto" w:fill="D7E8F5"/>
          </w:tcPr>
          <w:p>
            <w:pPr>
              <w:spacing w:after="0"/>
              <w:rPr>
                <w:sz w:val="7"/>
                <w:szCs w:val="7"/>
                <w:color w:val="auto"/>
              </w:rPr>
            </w:pPr>
          </w:p>
        </w:tc>
      </w:tr>
      <w:tr>
        <w:trPr>
          <w:trHeight w:val="328"/>
        </w:trPr>
        <w:tc>
          <w:tcPr>
            <w:tcW w:w="3520" w:type="dxa"/>
            <w:vAlign w:val="bottom"/>
          </w:tcPr>
          <w:p>
            <w:pPr>
              <w:spacing w:after="0"/>
              <w:rPr>
                <w:sz w:val="20"/>
                <w:szCs w:val="20"/>
                <w:color w:val="auto"/>
              </w:rPr>
            </w:pPr>
            <w:r>
              <w:rPr>
                <w:rFonts w:ascii="Arial" w:cs="Arial" w:eastAsia="Arial" w:hAnsi="Arial"/>
                <w:sz w:val="18"/>
                <w:szCs w:val="18"/>
                <w:color w:val="auto"/>
              </w:rPr>
              <w:t>Jeffrey V. Poulton</w:t>
            </w:r>
          </w:p>
        </w:tc>
        <w:tc>
          <w:tcPr>
            <w:tcW w:w="1700" w:type="dxa"/>
            <w:vAlign w:val="bottom"/>
          </w:tcPr>
          <w:p>
            <w:pPr>
              <w:jc w:val="right"/>
              <w:ind w:right="610"/>
              <w:spacing w:after="0"/>
              <w:rPr>
                <w:sz w:val="20"/>
                <w:szCs w:val="20"/>
                <w:color w:val="auto"/>
              </w:rPr>
            </w:pPr>
            <w:r>
              <w:rPr>
                <w:rFonts w:ascii="Arial" w:cs="Arial" w:eastAsia="Arial" w:hAnsi="Arial"/>
                <w:sz w:val="18"/>
                <w:szCs w:val="18"/>
                <w:color w:val="auto"/>
              </w:rPr>
              <w:t>55</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363,000</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544,500</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381,150</w:t>
            </w:r>
          </w:p>
        </w:tc>
        <w:tc>
          <w:tcPr>
            <w:tcW w:w="1460" w:type="dxa"/>
            <w:vAlign w:val="bottom"/>
          </w:tcPr>
          <w:p>
            <w:pPr>
              <w:ind w:left="600"/>
              <w:spacing w:after="0"/>
              <w:rPr>
                <w:sz w:val="20"/>
                <w:szCs w:val="20"/>
                <w:color w:val="auto"/>
              </w:rPr>
            </w:pPr>
            <w:r>
              <w:rPr>
                <w:rFonts w:ascii="Arial" w:cs="Arial" w:eastAsia="Arial" w:hAnsi="Arial"/>
                <w:sz w:val="18"/>
                <w:szCs w:val="18"/>
                <w:color w:val="auto"/>
              </w:rPr>
              <w:t>105  </w:t>
            </w:r>
          </w:p>
        </w:tc>
      </w:tr>
      <w:tr>
        <w:trPr>
          <w:trHeight w:val="91"/>
        </w:trPr>
        <w:tc>
          <w:tcPr>
            <w:tcW w:w="35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328"/>
        </w:trPr>
        <w:tc>
          <w:tcPr>
            <w:tcW w:w="3520" w:type="dxa"/>
            <w:vAlign w:val="bottom"/>
            <w:shd w:val="clear" w:color="auto" w:fill="D7E8F5"/>
          </w:tcPr>
          <w:p>
            <w:pPr>
              <w:spacing w:after="0"/>
              <w:rPr>
                <w:sz w:val="20"/>
                <w:szCs w:val="20"/>
                <w:color w:val="auto"/>
              </w:rPr>
            </w:pPr>
            <w:r>
              <w:rPr>
                <w:rFonts w:ascii="Arial" w:cs="Arial" w:eastAsia="Arial" w:hAnsi="Arial"/>
                <w:sz w:val="18"/>
                <w:szCs w:val="18"/>
                <w:color w:val="auto"/>
              </w:rPr>
              <w:t>Pushkal Garg, M.D.</w:t>
            </w:r>
          </w:p>
        </w:tc>
        <w:tc>
          <w:tcPr>
            <w:tcW w:w="1700" w:type="dxa"/>
            <w:vAlign w:val="bottom"/>
            <w:shd w:val="clear" w:color="auto" w:fill="D7E8F5"/>
          </w:tcPr>
          <w:p>
            <w:pPr>
              <w:jc w:val="right"/>
              <w:ind w:right="610"/>
              <w:spacing w:after="0"/>
              <w:rPr>
                <w:sz w:val="20"/>
                <w:szCs w:val="20"/>
                <w:color w:val="auto"/>
              </w:rPr>
            </w:pPr>
            <w:r>
              <w:rPr>
                <w:rFonts w:ascii="Arial" w:cs="Arial" w:eastAsia="Arial" w:hAnsi="Arial"/>
                <w:sz w:val="18"/>
                <w:szCs w:val="18"/>
                <w:color w:val="auto"/>
              </w:rPr>
              <w:t>55</w:t>
            </w:r>
          </w:p>
        </w:tc>
        <w:tc>
          <w:tcPr>
            <w:tcW w:w="1860" w:type="dxa"/>
            <w:vAlign w:val="bottom"/>
            <w:shd w:val="clear" w:color="auto" w:fill="D7E8F5"/>
          </w:tcPr>
          <w:p>
            <w:pPr>
              <w:jc w:val="right"/>
              <w:ind w:right="390"/>
              <w:spacing w:after="0"/>
              <w:rPr>
                <w:sz w:val="20"/>
                <w:szCs w:val="20"/>
                <w:color w:val="auto"/>
              </w:rPr>
            </w:pPr>
            <w:r>
              <w:rPr>
                <w:rFonts w:ascii="Arial" w:cs="Arial" w:eastAsia="Arial" w:hAnsi="Arial"/>
                <w:sz w:val="18"/>
                <w:szCs w:val="18"/>
                <w:color w:val="auto"/>
              </w:rPr>
              <w:t>364,650</w:t>
            </w:r>
          </w:p>
        </w:tc>
        <w:tc>
          <w:tcPr>
            <w:tcW w:w="1280" w:type="dxa"/>
            <w:vAlign w:val="bottom"/>
            <w:shd w:val="clear" w:color="auto" w:fill="D7E8F5"/>
          </w:tcPr>
          <w:p>
            <w:pPr>
              <w:jc w:val="right"/>
              <w:ind w:right="30"/>
              <w:spacing w:after="0"/>
              <w:rPr>
                <w:sz w:val="20"/>
                <w:szCs w:val="20"/>
                <w:color w:val="auto"/>
              </w:rPr>
            </w:pPr>
            <w:r>
              <w:rPr>
                <w:rFonts w:ascii="Arial" w:cs="Arial" w:eastAsia="Arial" w:hAnsi="Arial"/>
                <w:sz w:val="18"/>
                <w:szCs w:val="18"/>
                <w:color w:val="auto"/>
              </w:rPr>
              <w:t>546,980</w:t>
            </w:r>
          </w:p>
        </w:tc>
        <w:tc>
          <w:tcPr>
            <w:tcW w:w="1200" w:type="dxa"/>
            <w:vAlign w:val="bottom"/>
            <w:shd w:val="clear" w:color="auto" w:fill="D7E8F5"/>
          </w:tcPr>
          <w:p>
            <w:pPr>
              <w:jc w:val="right"/>
              <w:ind w:right="110"/>
              <w:spacing w:after="0"/>
              <w:rPr>
                <w:sz w:val="20"/>
                <w:szCs w:val="20"/>
                <w:color w:val="auto"/>
              </w:rPr>
            </w:pPr>
            <w:r>
              <w:rPr>
                <w:rFonts w:ascii="Arial" w:cs="Arial" w:eastAsia="Arial" w:hAnsi="Arial"/>
                <w:sz w:val="18"/>
                <w:szCs w:val="18"/>
                <w:color w:val="auto"/>
              </w:rPr>
              <w:t>382,880</w:t>
            </w:r>
          </w:p>
        </w:tc>
        <w:tc>
          <w:tcPr>
            <w:tcW w:w="1460" w:type="dxa"/>
            <w:vAlign w:val="bottom"/>
            <w:shd w:val="clear" w:color="auto" w:fill="D7E8F5"/>
          </w:tcPr>
          <w:p>
            <w:pPr>
              <w:ind w:left="600"/>
              <w:spacing w:after="0"/>
              <w:rPr>
                <w:sz w:val="20"/>
                <w:szCs w:val="20"/>
                <w:color w:val="auto"/>
              </w:rPr>
            </w:pPr>
            <w:r>
              <w:rPr>
                <w:rFonts w:ascii="Arial" w:cs="Arial" w:eastAsia="Arial" w:hAnsi="Arial"/>
                <w:sz w:val="18"/>
                <w:szCs w:val="18"/>
                <w:color w:val="auto"/>
              </w:rPr>
              <w:t>105  </w:t>
            </w:r>
          </w:p>
        </w:tc>
      </w:tr>
      <w:tr>
        <w:trPr>
          <w:trHeight w:val="91"/>
        </w:trPr>
        <w:tc>
          <w:tcPr>
            <w:tcW w:w="3520" w:type="dxa"/>
            <w:vAlign w:val="bottom"/>
            <w:shd w:val="clear" w:color="auto" w:fill="D7E8F5"/>
          </w:tcPr>
          <w:p>
            <w:pPr>
              <w:spacing w:after="0"/>
              <w:rPr>
                <w:sz w:val="7"/>
                <w:szCs w:val="7"/>
                <w:color w:val="auto"/>
              </w:rPr>
            </w:pPr>
          </w:p>
        </w:tc>
        <w:tc>
          <w:tcPr>
            <w:tcW w:w="1700" w:type="dxa"/>
            <w:vAlign w:val="bottom"/>
            <w:shd w:val="clear" w:color="auto" w:fill="D7E8F5"/>
          </w:tcPr>
          <w:p>
            <w:pPr>
              <w:spacing w:after="0"/>
              <w:rPr>
                <w:sz w:val="7"/>
                <w:szCs w:val="7"/>
                <w:color w:val="auto"/>
              </w:rPr>
            </w:pPr>
          </w:p>
        </w:tc>
        <w:tc>
          <w:tcPr>
            <w:tcW w:w="1860" w:type="dxa"/>
            <w:vAlign w:val="bottom"/>
            <w:shd w:val="clear" w:color="auto" w:fill="D7E8F5"/>
          </w:tcPr>
          <w:p>
            <w:pPr>
              <w:spacing w:after="0"/>
              <w:rPr>
                <w:sz w:val="7"/>
                <w:szCs w:val="7"/>
                <w:color w:val="auto"/>
              </w:rPr>
            </w:pPr>
          </w:p>
        </w:tc>
        <w:tc>
          <w:tcPr>
            <w:tcW w:w="1280" w:type="dxa"/>
            <w:vAlign w:val="bottom"/>
            <w:shd w:val="clear" w:color="auto" w:fill="D7E8F5"/>
          </w:tcPr>
          <w:p>
            <w:pPr>
              <w:spacing w:after="0"/>
              <w:rPr>
                <w:sz w:val="7"/>
                <w:szCs w:val="7"/>
                <w:color w:val="auto"/>
              </w:rPr>
            </w:pPr>
          </w:p>
        </w:tc>
        <w:tc>
          <w:tcPr>
            <w:tcW w:w="1200" w:type="dxa"/>
            <w:vAlign w:val="bottom"/>
            <w:shd w:val="clear" w:color="auto" w:fill="D7E8F5"/>
          </w:tcPr>
          <w:p>
            <w:pPr>
              <w:spacing w:after="0"/>
              <w:rPr>
                <w:sz w:val="7"/>
                <w:szCs w:val="7"/>
                <w:color w:val="auto"/>
              </w:rPr>
            </w:pPr>
          </w:p>
        </w:tc>
        <w:tc>
          <w:tcPr>
            <w:tcW w:w="1460" w:type="dxa"/>
            <w:vAlign w:val="bottom"/>
            <w:shd w:val="clear" w:color="auto" w:fill="D7E8F5"/>
          </w:tcPr>
          <w:p>
            <w:pPr>
              <w:spacing w:after="0"/>
              <w:rPr>
                <w:sz w:val="7"/>
                <w:szCs w:val="7"/>
                <w:color w:val="auto"/>
              </w:rPr>
            </w:pPr>
          </w:p>
        </w:tc>
      </w:tr>
      <w:tr>
        <w:trPr>
          <w:trHeight w:val="328"/>
        </w:trPr>
        <w:tc>
          <w:tcPr>
            <w:tcW w:w="3520" w:type="dxa"/>
            <w:vAlign w:val="bottom"/>
          </w:tcPr>
          <w:p>
            <w:pPr>
              <w:spacing w:after="0"/>
              <w:rPr>
                <w:sz w:val="20"/>
                <w:szCs w:val="20"/>
                <w:color w:val="auto"/>
              </w:rPr>
            </w:pPr>
            <w:r>
              <w:rPr>
                <w:rFonts w:ascii="Arial" w:cs="Arial" w:eastAsia="Arial" w:hAnsi="Arial"/>
                <w:sz w:val="18"/>
                <w:szCs w:val="18"/>
                <w:color w:val="auto"/>
              </w:rPr>
              <w:t>Tolga Tanguler</w:t>
            </w:r>
          </w:p>
        </w:tc>
        <w:tc>
          <w:tcPr>
            <w:tcW w:w="1700" w:type="dxa"/>
            <w:vAlign w:val="bottom"/>
          </w:tcPr>
          <w:p>
            <w:pPr>
              <w:jc w:val="right"/>
              <w:ind w:right="610"/>
              <w:spacing w:after="0"/>
              <w:rPr>
                <w:sz w:val="20"/>
                <w:szCs w:val="20"/>
                <w:color w:val="auto"/>
              </w:rPr>
            </w:pPr>
            <w:r>
              <w:rPr>
                <w:rFonts w:ascii="Arial" w:cs="Arial" w:eastAsia="Arial" w:hAnsi="Arial"/>
                <w:sz w:val="18"/>
                <w:szCs w:val="18"/>
                <w:color w:val="auto"/>
              </w:rPr>
              <w:t>55</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335,500</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503,250</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352,280</w:t>
            </w:r>
          </w:p>
        </w:tc>
        <w:tc>
          <w:tcPr>
            <w:tcW w:w="1460" w:type="dxa"/>
            <w:vAlign w:val="bottom"/>
          </w:tcPr>
          <w:p>
            <w:pPr>
              <w:ind w:left="600"/>
              <w:spacing w:after="0"/>
              <w:rPr>
                <w:sz w:val="20"/>
                <w:szCs w:val="20"/>
                <w:color w:val="auto"/>
              </w:rPr>
            </w:pPr>
            <w:r>
              <w:rPr>
                <w:rFonts w:ascii="Arial" w:cs="Arial" w:eastAsia="Arial" w:hAnsi="Arial"/>
                <w:sz w:val="18"/>
                <w:szCs w:val="18"/>
                <w:color w:val="auto"/>
              </w:rPr>
              <w:t>105  </w:t>
            </w:r>
          </w:p>
        </w:tc>
      </w:tr>
      <w:tr>
        <w:trPr>
          <w:trHeight w:val="90"/>
        </w:trPr>
        <w:tc>
          <w:tcPr>
            <w:tcW w:w="35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328"/>
        </w:trPr>
        <w:tc>
          <w:tcPr>
            <w:tcW w:w="3520" w:type="dxa"/>
            <w:vAlign w:val="bottom"/>
            <w:shd w:val="clear" w:color="auto" w:fill="D7E8F5"/>
          </w:tcPr>
          <w:p>
            <w:pPr>
              <w:spacing w:after="0"/>
              <w:rPr>
                <w:sz w:val="20"/>
                <w:szCs w:val="20"/>
                <w:color w:val="auto"/>
              </w:rPr>
            </w:pPr>
            <w:r>
              <w:rPr>
                <w:rFonts w:ascii="Arial" w:cs="Arial" w:eastAsia="Arial" w:hAnsi="Arial"/>
                <w:sz w:val="18"/>
                <w:szCs w:val="18"/>
                <w:color w:val="auto"/>
              </w:rPr>
              <w:t>Indrani L. Franchini, J.D.(2)</w:t>
            </w:r>
          </w:p>
        </w:tc>
        <w:tc>
          <w:tcPr>
            <w:tcW w:w="1700" w:type="dxa"/>
            <w:vAlign w:val="bottom"/>
            <w:shd w:val="clear" w:color="auto" w:fill="D7E8F5"/>
          </w:tcPr>
          <w:p>
            <w:pPr>
              <w:jc w:val="right"/>
              <w:ind w:right="610"/>
              <w:spacing w:after="0"/>
              <w:rPr>
                <w:sz w:val="20"/>
                <w:szCs w:val="20"/>
                <w:color w:val="auto"/>
              </w:rPr>
            </w:pPr>
            <w:r>
              <w:rPr>
                <w:rFonts w:ascii="Arial" w:cs="Arial" w:eastAsia="Arial" w:hAnsi="Arial"/>
                <w:sz w:val="18"/>
                <w:szCs w:val="18"/>
                <w:color w:val="auto"/>
              </w:rPr>
              <w:t>55</w:t>
            </w:r>
          </w:p>
        </w:tc>
        <w:tc>
          <w:tcPr>
            <w:tcW w:w="1860" w:type="dxa"/>
            <w:vAlign w:val="bottom"/>
            <w:shd w:val="clear" w:color="auto" w:fill="D7E8F5"/>
          </w:tcPr>
          <w:p>
            <w:pPr>
              <w:jc w:val="right"/>
              <w:ind w:right="390"/>
              <w:spacing w:after="0"/>
              <w:rPr>
                <w:sz w:val="20"/>
                <w:szCs w:val="20"/>
                <w:color w:val="auto"/>
              </w:rPr>
            </w:pPr>
            <w:r>
              <w:rPr>
                <w:rFonts w:ascii="Arial" w:cs="Arial" w:eastAsia="Arial" w:hAnsi="Arial"/>
                <w:sz w:val="18"/>
                <w:szCs w:val="18"/>
                <w:color w:val="auto"/>
              </w:rPr>
              <w:t>328,350</w:t>
            </w:r>
          </w:p>
        </w:tc>
        <w:tc>
          <w:tcPr>
            <w:tcW w:w="1280" w:type="dxa"/>
            <w:vAlign w:val="bottom"/>
            <w:shd w:val="clear" w:color="auto" w:fill="D7E8F5"/>
          </w:tcPr>
          <w:p>
            <w:pPr>
              <w:jc w:val="right"/>
              <w:ind w:right="30"/>
              <w:spacing w:after="0"/>
              <w:rPr>
                <w:sz w:val="20"/>
                <w:szCs w:val="20"/>
                <w:color w:val="auto"/>
              </w:rPr>
            </w:pPr>
            <w:r>
              <w:rPr>
                <w:rFonts w:ascii="Arial" w:cs="Arial" w:eastAsia="Arial" w:hAnsi="Arial"/>
                <w:sz w:val="18"/>
                <w:szCs w:val="18"/>
                <w:color w:val="auto"/>
              </w:rPr>
              <w:t>492,530</w:t>
            </w:r>
          </w:p>
        </w:tc>
        <w:tc>
          <w:tcPr>
            <w:tcW w:w="1200" w:type="dxa"/>
            <w:vAlign w:val="bottom"/>
            <w:shd w:val="clear" w:color="auto" w:fill="D7E8F5"/>
          </w:tcPr>
          <w:p>
            <w:pPr>
              <w:jc w:val="right"/>
              <w:ind w:right="110"/>
              <w:spacing w:after="0"/>
              <w:rPr>
                <w:sz w:val="20"/>
                <w:szCs w:val="20"/>
                <w:color w:val="auto"/>
              </w:rPr>
            </w:pPr>
            <w:r>
              <w:rPr>
                <w:rFonts w:ascii="Arial" w:cs="Arial" w:eastAsia="Arial" w:hAnsi="Arial"/>
                <w:sz w:val="18"/>
                <w:szCs w:val="18"/>
                <w:color w:val="auto"/>
              </w:rPr>
              <w:t>344,770</w:t>
            </w:r>
          </w:p>
        </w:tc>
        <w:tc>
          <w:tcPr>
            <w:tcW w:w="1460" w:type="dxa"/>
            <w:vAlign w:val="bottom"/>
            <w:shd w:val="clear" w:color="auto" w:fill="D7E8F5"/>
          </w:tcPr>
          <w:p>
            <w:pPr>
              <w:ind w:left="600"/>
              <w:spacing w:after="0"/>
              <w:rPr>
                <w:sz w:val="20"/>
                <w:szCs w:val="20"/>
                <w:color w:val="auto"/>
              </w:rPr>
            </w:pPr>
            <w:r>
              <w:rPr>
                <w:rFonts w:ascii="Arial" w:cs="Arial" w:eastAsia="Arial" w:hAnsi="Arial"/>
                <w:sz w:val="18"/>
                <w:szCs w:val="18"/>
                <w:color w:val="auto"/>
              </w:rPr>
              <w:t>105  </w:t>
            </w:r>
          </w:p>
        </w:tc>
      </w:tr>
      <w:tr>
        <w:trPr>
          <w:trHeight w:val="90"/>
        </w:trPr>
        <w:tc>
          <w:tcPr>
            <w:tcW w:w="3520" w:type="dxa"/>
            <w:vAlign w:val="bottom"/>
            <w:shd w:val="clear" w:color="auto" w:fill="D7E8F5"/>
          </w:tcPr>
          <w:p>
            <w:pPr>
              <w:spacing w:after="0"/>
              <w:rPr>
                <w:sz w:val="7"/>
                <w:szCs w:val="7"/>
                <w:color w:val="auto"/>
              </w:rPr>
            </w:pPr>
          </w:p>
        </w:tc>
        <w:tc>
          <w:tcPr>
            <w:tcW w:w="1700" w:type="dxa"/>
            <w:vAlign w:val="bottom"/>
            <w:shd w:val="clear" w:color="auto" w:fill="D7E8F5"/>
          </w:tcPr>
          <w:p>
            <w:pPr>
              <w:spacing w:after="0"/>
              <w:rPr>
                <w:sz w:val="7"/>
                <w:szCs w:val="7"/>
                <w:color w:val="auto"/>
              </w:rPr>
            </w:pPr>
          </w:p>
        </w:tc>
        <w:tc>
          <w:tcPr>
            <w:tcW w:w="1860" w:type="dxa"/>
            <w:vAlign w:val="bottom"/>
            <w:shd w:val="clear" w:color="auto" w:fill="D7E8F5"/>
          </w:tcPr>
          <w:p>
            <w:pPr>
              <w:spacing w:after="0"/>
              <w:rPr>
                <w:sz w:val="7"/>
                <w:szCs w:val="7"/>
                <w:color w:val="auto"/>
              </w:rPr>
            </w:pPr>
          </w:p>
        </w:tc>
        <w:tc>
          <w:tcPr>
            <w:tcW w:w="1280" w:type="dxa"/>
            <w:vAlign w:val="bottom"/>
            <w:shd w:val="clear" w:color="auto" w:fill="D7E8F5"/>
          </w:tcPr>
          <w:p>
            <w:pPr>
              <w:spacing w:after="0"/>
              <w:rPr>
                <w:sz w:val="7"/>
                <w:szCs w:val="7"/>
                <w:color w:val="auto"/>
              </w:rPr>
            </w:pPr>
          </w:p>
        </w:tc>
        <w:tc>
          <w:tcPr>
            <w:tcW w:w="1200" w:type="dxa"/>
            <w:vAlign w:val="bottom"/>
            <w:shd w:val="clear" w:color="auto" w:fill="D7E8F5"/>
          </w:tcPr>
          <w:p>
            <w:pPr>
              <w:spacing w:after="0"/>
              <w:rPr>
                <w:sz w:val="7"/>
                <w:szCs w:val="7"/>
                <w:color w:val="auto"/>
              </w:rPr>
            </w:pPr>
          </w:p>
        </w:tc>
        <w:tc>
          <w:tcPr>
            <w:tcW w:w="1460" w:type="dxa"/>
            <w:vAlign w:val="bottom"/>
            <w:shd w:val="clear" w:color="auto" w:fill="D7E8F5"/>
          </w:tcPr>
          <w:p>
            <w:pPr>
              <w:spacing w:after="0"/>
              <w:rPr>
                <w:sz w:val="7"/>
                <w:szCs w:val="7"/>
                <w:color w:val="auto"/>
              </w:rPr>
            </w:pPr>
          </w:p>
        </w:tc>
      </w:tr>
      <w:tr>
        <w:trPr>
          <w:trHeight w:val="328"/>
        </w:trPr>
        <w:tc>
          <w:tcPr>
            <w:tcW w:w="3520" w:type="dxa"/>
            <w:vAlign w:val="bottom"/>
          </w:tcPr>
          <w:p>
            <w:pPr>
              <w:spacing w:after="0"/>
              <w:rPr>
                <w:sz w:val="20"/>
                <w:szCs w:val="20"/>
                <w:color w:val="auto"/>
              </w:rPr>
            </w:pPr>
            <w:r>
              <w:rPr>
                <w:rFonts w:ascii="Arial" w:cs="Arial" w:eastAsia="Arial" w:hAnsi="Arial"/>
                <w:sz w:val="18"/>
                <w:szCs w:val="18"/>
                <w:color w:val="auto"/>
              </w:rPr>
              <w:t>Akshay K. Vaishnaw, M.D., Ph.D.(3)</w:t>
            </w:r>
          </w:p>
        </w:tc>
        <w:tc>
          <w:tcPr>
            <w:tcW w:w="1700" w:type="dxa"/>
            <w:vAlign w:val="bottom"/>
          </w:tcPr>
          <w:p>
            <w:pPr>
              <w:jc w:val="right"/>
              <w:ind w:right="610"/>
              <w:spacing w:after="0"/>
              <w:rPr>
                <w:sz w:val="20"/>
                <w:szCs w:val="20"/>
                <w:color w:val="auto"/>
              </w:rPr>
            </w:pPr>
            <w:r>
              <w:rPr>
                <w:rFonts w:ascii="Arial" w:cs="Arial" w:eastAsia="Arial" w:hAnsi="Arial"/>
                <w:sz w:val="18"/>
                <w:szCs w:val="18"/>
                <w:color w:val="auto"/>
              </w:rPr>
              <w:t>65</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429,005</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643,510</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450,460</w:t>
            </w:r>
          </w:p>
        </w:tc>
        <w:tc>
          <w:tcPr>
            <w:tcW w:w="1460" w:type="dxa"/>
            <w:vAlign w:val="bottom"/>
          </w:tcPr>
          <w:p>
            <w:pPr>
              <w:ind w:left="600"/>
              <w:spacing w:after="0"/>
              <w:rPr>
                <w:sz w:val="20"/>
                <w:szCs w:val="20"/>
                <w:color w:val="auto"/>
              </w:rPr>
            </w:pPr>
            <w:r>
              <w:rPr>
                <w:rFonts w:ascii="Arial" w:cs="Arial" w:eastAsia="Arial" w:hAnsi="Arial"/>
                <w:sz w:val="18"/>
                <w:szCs w:val="18"/>
                <w:color w:val="auto"/>
              </w:rPr>
              <w:t>105  </w:t>
            </w:r>
          </w:p>
        </w:tc>
      </w:tr>
      <w:tr>
        <w:trPr>
          <w:trHeight w:val="91"/>
        </w:trPr>
        <w:tc>
          <w:tcPr>
            <w:tcW w:w="3520" w:type="dxa"/>
            <w:vAlign w:val="bottom"/>
            <w:tcBorders>
              <w:bottom w:val="single" w:sz="8" w:color="2275B5"/>
            </w:tcBorders>
          </w:tcPr>
          <w:p>
            <w:pPr>
              <w:spacing w:after="0"/>
              <w:rPr>
                <w:sz w:val="7"/>
                <w:szCs w:val="7"/>
                <w:color w:val="auto"/>
              </w:rPr>
            </w:pPr>
          </w:p>
        </w:tc>
        <w:tc>
          <w:tcPr>
            <w:tcW w:w="1700" w:type="dxa"/>
            <w:vAlign w:val="bottom"/>
            <w:tcBorders>
              <w:bottom w:val="single" w:sz="8" w:color="2275B5"/>
            </w:tcBorders>
          </w:tcPr>
          <w:p>
            <w:pPr>
              <w:spacing w:after="0"/>
              <w:rPr>
                <w:sz w:val="7"/>
                <w:szCs w:val="7"/>
                <w:color w:val="auto"/>
              </w:rPr>
            </w:pPr>
          </w:p>
        </w:tc>
        <w:tc>
          <w:tcPr>
            <w:tcW w:w="1860" w:type="dxa"/>
            <w:vAlign w:val="bottom"/>
            <w:tcBorders>
              <w:bottom w:val="single" w:sz="8" w:color="2275B5"/>
            </w:tcBorders>
          </w:tcPr>
          <w:p>
            <w:pPr>
              <w:spacing w:after="0"/>
              <w:rPr>
                <w:sz w:val="7"/>
                <w:szCs w:val="7"/>
                <w:color w:val="auto"/>
              </w:rPr>
            </w:pPr>
          </w:p>
        </w:tc>
        <w:tc>
          <w:tcPr>
            <w:tcW w:w="1280" w:type="dxa"/>
            <w:vAlign w:val="bottom"/>
            <w:tcBorders>
              <w:bottom w:val="single" w:sz="8" w:color="2275B5"/>
            </w:tcBorders>
          </w:tcPr>
          <w:p>
            <w:pPr>
              <w:spacing w:after="0"/>
              <w:rPr>
                <w:sz w:val="7"/>
                <w:szCs w:val="7"/>
                <w:color w:val="auto"/>
              </w:rPr>
            </w:pPr>
          </w:p>
        </w:tc>
        <w:tc>
          <w:tcPr>
            <w:tcW w:w="1200" w:type="dxa"/>
            <w:vAlign w:val="bottom"/>
            <w:tcBorders>
              <w:bottom w:val="single" w:sz="8" w:color="2275B5"/>
            </w:tcBorders>
          </w:tcPr>
          <w:p>
            <w:pPr>
              <w:spacing w:after="0"/>
              <w:rPr>
                <w:sz w:val="7"/>
                <w:szCs w:val="7"/>
                <w:color w:val="auto"/>
              </w:rPr>
            </w:pPr>
          </w:p>
        </w:tc>
        <w:tc>
          <w:tcPr>
            <w:tcW w:w="1460" w:type="dxa"/>
            <w:vAlign w:val="bottom"/>
            <w:tcBorders>
              <w:bottom w:val="single" w:sz="8" w:color="2275B5"/>
            </w:tcBorders>
          </w:tcPr>
          <w:p>
            <w:pPr>
              <w:spacing w:after="0"/>
              <w:rPr>
                <w:sz w:val="7"/>
                <w:szCs w:val="7"/>
                <w:color w:val="auto"/>
              </w:rPr>
            </w:pPr>
          </w:p>
        </w:tc>
      </w:tr>
    </w:tbl>
    <w:p>
      <w:pPr>
        <w:spacing w:after="0" w:line="229"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maximum award under the AIP is 150% of the respective NEO’s target award opportunity.</w:t>
      </w:r>
    </w:p>
    <w:p>
      <w:pPr>
        <w:spacing w:after="0" w:line="248" w:lineRule="exact"/>
        <w:rPr>
          <w:rFonts w:ascii="Arial" w:cs="Arial" w:eastAsia="Arial" w:hAnsi="Arial"/>
          <w:sz w:val="16"/>
          <w:szCs w:val="16"/>
          <w:color w:val="auto"/>
        </w:rPr>
      </w:pPr>
    </w:p>
    <w:p>
      <w:pPr>
        <w:ind w:left="540" w:right="160" w:hanging="424"/>
        <w:spacing w:after="0" w:line="259"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Ms. Franchini’s employment with us terminated effective March 1, 2024. Pursuant to the terms of the letter agreement we entered into with Ms. Franchini in connection with her separation from employment, as described below under the section entitled “Employment Agreements – Franchini Letter Agreement,” Ms. Franchini received a lump sum payment in lieu of the 2023 AIP award she otherwise would have received under the AIP had she been actively employed by us on the AIP payment date.</w:t>
      </w:r>
    </w:p>
    <w:p>
      <w:pPr>
        <w:spacing w:after="0" w:line="204" w:lineRule="exact"/>
        <w:rPr>
          <w:rFonts w:ascii="Arial" w:cs="Arial" w:eastAsia="Arial" w:hAnsi="Arial"/>
          <w:sz w:val="16"/>
          <w:szCs w:val="16"/>
          <w:color w:val="auto"/>
        </w:rPr>
      </w:pPr>
    </w:p>
    <w:p>
      <w:pPr>
        <w:ind w:left="540" w:right="80" w:hanging="424"/>
        <w:spacing w:after="0" w:line="286"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Dr. Vaishnaw ceased serving as an executive officer effective October 2, 2023 when he transitioned from the role of President to a part-time role as Chief Innovation Officer. Dr. Vaishnaw’s AIP award for 2023 was prorated to reflect his transition to a part-time role in October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Long-Term Incentives – 2023 Equity Awards</w:t>
      </w:r>
    </w:p>
    <w:p>
      <w:pPr>
        <w:spacing w:after="0" w:line="202" w:lineRule="exact"/>
        <w:rPr>
          <w:sz w:val="20"/>
          <w:szCs w:val="20"/>
          <w:color w:val="auto"/>
        </w:rPr>
      </w:pPr>
    </w:p>
    <w:p>
      <w:pPr>
        <w:ind w:left="120" w:right="100" w:firstLine="771"/>
        <w:spacing w:after="0" w:line="233" w:lineRule="auto"/>
        <w:rPr>
          <w:sz w:val="20"/>
          <w:szCs w:val="20"/>
          <w:color w:val="auto"/>
        </w:rPr>
      </w:pPr>
      <w:r>
        <w:rPr>
          <w:rFonts w:ascii="Arial" w:cs="Arial" w:eastAsia="Arial" w:hAnsi="Arial"/>
          <w:sz w:val="20"/>
          <w:szCs w:val="20"/>
          <w:color w:val="auto"/>
        </w:rPr>
        <w:t>The market for qualified and talented executives in the biopharmaceutical industry is highly competitive, and we compete for talent with many companies that have greater resources than we do. Accordingly, we believe long-term incentive compensation is a crucial component of our executive compensation package. The value of equity awards granted to our NEOs vary based on their role and annual performance assessments. For more information about how we set the compensation of our NEOs, including the value of their annual equity award, please see the section below entitled “Committee Process for Setting Total Compensation.”</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Our long-term incentive compensation program is designed to:</w:t>
      </w:r>
    </w:p>
    <w:p>
      <w:pPr>
        <w:spacing w:after="0" w:line="229" w:lineRule="exact"/>
        <w:rPr>
          <w:sz w:val="20"/>
          <w:szCs w:val="20"/>
          <w:color w:val="auto"/>
        </w:rPr>
      </w:pPr>
    </w:p>
    <w:p>
      <w:pPr>
        <w:ind w:left="1320" w:hanging="435"/>
        <w:spacing w:after="0"/>
        <w:tabs>
          <w:tab w:leader="none" w:pos="13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reward demonstrated leadership and performance;</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align our executive officers’ interests with those of our stockholders through long-term value creation;</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affect pay-for-performance achievement;</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retain our executive officers through the vesting period of the awards;</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maintain competitive levels of executive compensation; and</w:t>
      </w:r>
    </w:p>
    <w:p>
      <w:pPr>
        <w:spacing w:after="0" w:line="229" w:lineRule="exact"/>
        <w:rPr>
          <w:rFonts w:ascii="Arial" w:cs="Arial" w:eastAsia="Arial" w:hAnsi="Arial"/>
          <w:sz w:val="20"/>
          <w:szCs w:val="20"/>
          <w:color w:val="auto"/>
        </w:rPr>
      </w:pPr>
    </w:p>
    <w:p>
      <w:pPr>
        <w:ind w:left="1320" w:hanging="435"/>
        <w:spacing w:after="0"/>
        <w:tabs>
          <w:tab w:leader="none" w:pos="13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motivate our executive officers for outstanding future performance.</w:t>
      </w:r>
    </w:p>
    <w:p>
      <w:pPr>
        <w:spacing w:after="0" w:line="202" w:lineRule="exact"/>
        <w:rPr>
          <w:sz w:val="20"/>
          <w:szCs w:val="20"/>
          <w:color w:val="auto"/>
        </w:rPr>
      </w:pPr>
    </w:p>
    <w:p>
      <w:pPr>
        <w:ind w:left="120" w:right="120" w:firstLine="771"/>
        <w:spacing w:after="0" w:line="229" w:lineRule="auto"/>
        <w:rPr>
          <w:sz w:val="20"/>
          <w:szCs w:val="20"/>
          <w:color w:val="auto"/>
        </w:rPr>
      </w:pPr>
      <w:r>
        <w:rPr>
          <w:rFonts w:ascii="Arial" w:cs="Arial" w:eastAsia="Arial" w:hAnsi="Arial"/>
          <w:sz w:val="20"/>
          <w:szCs w:val="20"/>
          <w:color w:val="auto"/>
        </w:rPr>
        <w:t>During 2022, the PC&amp;C committee, with the assistance of its compensation consultant, conducted a review of our total rewards practices. The PC&amp;C committee conducted this review as part of its commitment to reviewing and evolving our total rewards practices to ensure that our plans and programs continue to support our pay-for-performance philosophy, align with market best practices, and attract and retain key talent. Based on this review, the PC&amp;C committee determined that it would be appropriate to further evolve our long-term incentive plan by introducing time-based RSUs into our annual program and adjusting the mix of awards issued to executive officers, beginning with the fiscal 2023 annual equity awards. When making this determination, the PC&amp;C committee considered, among other items, market practice amongst similarly-situated companies, particularly companies in our peer group, and the retentive value of RSUs when included as a component of a long-term incentive program. Accordingly, for our 2023 annual long-term incentive award, the PC&amp;C committee approved the following equity award mix for our executive officers: 50% in the form of PSUs, 25% in the form of restricted stock units, or RSUs, and 25% in the form of stock options.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1D3060"/>
        </w:rPr>
        <w:t>Annual Equity Awards</w:t>
      </w:r>
    </w:p>
    <w:p>
      <w:pPr>
        <w:spacing w:after="0" w:line="204" w:lineRule="exact"/>
        <w:rPr>
          <w:sz w:val="20"/>
          <w:szCs w:val="20"/>
          <w:color w:val="auto"/>
        </w:rPr>
      </w:pPr>
    </w:p>
    <w:p>
      <w:pPr>
        <w:ind w:left="120" w:right="60" w:firstLine="771"/>
        <w:spacing w:after="0" w:line="232" w:lineRule="auto"/>
        <w:rPr>
          <w:sz w:val="20"/>
          <w:szCs w:val="20"/>
          <w:color w:val="auto"/>
        </w:rPr>
      </w:pPr>
      <w:r>
        <w:rPr>
          <w:rFonts w:ascii="Arial" w:cs="Arial" w:eastAsia="Arial" w:hAnsi="Arial"/>
          <w:sz w:val="20"/>
          <w:szCs w:val="20"/>
          <w:color w:val="auto"/>
        </w:rPr>
        <w:t>As noted above, beginning in fiscal 2023, our annual equity awards consist of PSUs, stock option awards and RSUs. Stock options vest as to 25% of the shares subject to the award on the first anniversary of the grant date and as to an additional 6.25% of the shares subject to the award at the end of each successive three-month period thereafter until the fourth anniversary of the grant date. RSUs vest in substantially equal installments on the first, second and third anniversaries of the grant date. PSUs vest, if at all, upon the achievement of specific clinical development, regulatory or financial goals and/or metrics, in each case as approved by the PC&amp;C committee, and cannot vest earlier than the one-year anniversary of the grant date. Set forth below is a summary of the performance goals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60"/>
        <w:spacing w:after="0" w:line="241" w:lineRule="auto"/>
        <w:rPr>
          <w:sz w:val="20"/>
          <w:szCs w:val="20"/>
          <w:color w:val="auto"/>
        </w:rPr>
      </w:pPr>
      <w:r>
        <w:rPr>
          <w:rFonts w:ascii="Arial" w:cs="Arial" w:eastAsia="Arial" w:hAnsi="Arial"/>
          <w:sz w:val="20"/>
          <w:szCs w:val="20"/>
          <w:color w:val="auto"/>
        </w:rPr>
        <w:t>or metrics for the PSUs granted in the last four years, together with the status of the achievement of such goals. The timing of actual achievement for outstanding PSUs, if any, depends in each case on our ability to achieve the underlying clinical, regulatory or financial goal and/or metric.</w:t>
      </w:r>
    </w:p>
    <w:p>
      <w:pPr>
        <w:spacing w:after="0" w:line="171" w:lineRule="exact"/>
        <w:rPr>
          <w:sz w:val="20"/>
          <w:szCs w:val="20"/>
          <w:color w:val="auto"/>
        </w:rPr>
      </w:pPr>
    </w:p>
    <w:p>
      <w:pPr>
        <w:ind w:left="120" w:right="40" w:firstLine="771"/>
        <w:spacing w:after="0" w:line="233" w:lineRule="auto"/>
        <w:rPr>
          <w:sz w:val="20"/>
          <w:szCs w:val="20"/>
          <w:color w:val="auto"/>
        </w:rPr>
      </w:pPr>
      <w:r>
        <w:rPr>
          <w:rFonts w:ascii="Arial" w:cs="Arial" w:eastAsia="Arial" w:hAnsi="Arial"/>
          <w:sz w:val="20"/>
          <w:szCs w:val="20"/>
          <w:color w:val="auto"/>
        </w:rPr>
        <w:t>Any determination as to whether a PSU vesting event has been met must be approved by our PC&amp;C committee. The performance goals for a PSU must occur within ten years from the grant date (or upon the earlier date specified for certain financial goals). Vesting of equity awards typically ceases upon the award recipient’s termination of employment with the company. Prior to the vesting of a PSU or RSU, the recipient does not have any rights as a stockholder with respect to the shares subject to such PSU or RSU, including voting rights and the right to receive dividends or dividend equivalents. We do not currently pay dividends or dividend equivalents on our equity awards.</w:t>
      </w:r>
    </w:p>
    <w:p>
      <w:pPr>
        <w:spacing w:after="0" w:line="172" w:lineRule="exact"/>
        <w:rPr>
          <w:sz w:val="20"/>
          <w:szCs w:val="20"/>
          <w:color w:val="auto"/>
        </w:rPr>
      </w:pPr>
    </w:p>
    <w:p>
      <w:pPr>
        <w:ind w:left="120" w:right="320" w:firstLine="771"/>
        <w:spacing w:after="0" w:line="284" w:lineRule="auto"/>
        <w:rPr>
          <w:sz w:val="20"/>
          <w:szCs w:val="20"/>
          <w:color w:val="auto"/>
        </w:rPr>
      </w:pPr>
      <w:r>
        <w:rPr>
          <w:rFonts w:ascii="Arial" w:cs="Arial" w:eastAsia="Arial" w:hAnsi="Arial"/>
          <w:sz w:val="19"/>
          <w:szCs w:val="19"/>
          <w:color w:val="auto"/>
        </w:rPr>
        <w:t>In connection with the annual review of each NEO’s individual performance and consistent with our compensation philosophy, in February 2023, the PC&amp;C committee approved annual equity incentive awards for our executive officers.</w:t>
      </w:r>
    </w:p>
    <w:p>
      <w:pPr>
        <w:spacing w:after="0" w:line="131" w:lineRule="exact"/>
        <w:rPr>
          <w:sz w:val="20"/>
          <w:szCs w:val="20"/>
          <w:color w:val="auto"/>
        </w:rPr>
      </w:pPr>
    </w:p>
    <w:p>
      <w:pPr>
        <w:ind w:left="120" w:right="580" w:firstLine="771"/>
        <w:spacing w:after="0" w:line="257" w:lineRule="auto"/>
        <w:rPr>
          <w:sz w:val="20"/>
          <w:szCs w:val="20"/>
          <w:color w:val="auto"/>
        </w:rPr>
      </w:pPr>
      <w:r>
        <w:rPr>
          <w:rFonts w:ascii="Arial" w:cs="Arial" w:eastAsia="Arial" w:hAnsi="Arial"/>
          <w:sz w:val="20"/>
          <w:szCs w:val="20"/>
          <w:color w:val="auto"/>
        </w:rPr>
        <w:t>The annual equity incentive awards granted to our NEOs in 2023 and the value of such awards listed by award vehicle (i.e., PSU, RSU and stock option), are set forth in the table below:</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1D3060"/>
        </w:rPr>
        <w:t>2023 Annual Equity Incentive Awards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400" w:type="dxa"/>
            <w:vAlign w:val="bottom"/>
            <w:vMerge w:val="restart"/>
            <w:shd w:val="clear" w:color="auto" w:fill="1D3060"/>
          </w:tcPr>
          <w:p>
            <w:pPr>
              <w:spacing w:after="0"/>
              <w:rPr>
                <w:sz w:val="20"/>
                <w:szCs w:val="20"/>
                <w:color w:val="auto"/>
              </w:rPr>
            </w:pPr>
            <w:r>
              <w:rPr>
                <w:rFonts w:ascii="Arial" w:cs="Arial" w:eastAsia="Arial" w:hAnsi="Arial"/>
                <w:sz w:val="13"/>
                <w:szCs w:val="13"/>
                <w:b w:val="1"/>
                <w:bCs w:val="1"/>
                <w:color w:val="FFFFFF"/>
              </w:rPr>
              <w:t>Name</w:t>
            </w:r>
          </w:p>
        </w:tc>
        <w:tc>
          <w:tcPr>
            <w:tcW w:w="1060" w:type="dxa"/>
            <w:vAlign w:val="bottom"/>
            <w:shd w:val="clear" w:color="auto" w:fill="1D3060"/>
          </w:tcPr>
          <w:p>
            <w:pPr>
              <w:jc w:val="right"/>
              <w:ind w:right="189"/>
              <w:spacing w:after="0"/>
              <w:rPr>
                <w:sz w:val="20"/>
                <w:szCs w:val="20"/>
                <w:color w:val="auto"/>
              </w:rPr>
            </w:pPr>
            <w:r>
              <w:rPr>
                <w:rFonts w:ascii="Arial" w:cs="Arial" w:eastAsia="Arial" w:hAnsi="Arial"/>
                <w:sz w:val="13"/>
                <w:szCs w:val="13"/>
                <w:b w:val="1"/>
                <w:bCs w:val="1"/>
                <w:color w:val="FFFFFF"/>
              </w:rPr>
              <w:t>PSU Award</w:t>
            </w:r>
          </w:p>
        </w:tc>
        <w:tc>
          <w:tcPr>
            <w:tcW w:w="1120" w:type="dxa"/>
            <w:vAlign w:val="bottom"/>
            <w:shd w:val="clear" w:color="auto" w:fill="1D3060"/>
          </w:tcPr>
          <w:p>
            <w:pPr>
              <w:jc w:val="right"/>
              <w:ind w:right="69"/>
              <w:spacing w:after="0"/>
              <w:rPr>
                <w:sz w:val="20"/>
                <w:szCs w:val="20"/>
                <w:color w:val="auto"/>
              </w:rPr>
            </w:pPr>
            <w:r>
              <w:rPr>
                <w:rFonts w:ascii="Arial" w:cs="Arial" w:eastAsia="Arial" w:hAnsi="Arial"/>
                <w:sz w:val="13"/>
                <w:szCs w:val="13"/>
                <w:b w:val="1"/>
                <w:bCs w:val="1"/>
                <w:color w:val="FFFFFF"/>
              </w:rPr>
              <w:t>RSU Award</w:t>
            </w:r>
          </w:p>
        </w:tc>
        <w:tc>
          <w:tcPr>
            <w:tcW w:w="1060" w:type="dxa"/>
            <w:vAlign w:val="bottom"/>
            <w:shd w:val="clear" w:color="auto" w:fill="1D3060"/>
          </w:tcPr>
          <w:p>
            <w:pPr>
              <w:jc w:val="right"/>
              <w:spacing w:after="0"/>
              <w:rPr>
                <w:sz w:val="20"/>
                <w:szCs w:val="20"/>
                <w:color w:val="auto"/>
              </w:rPr>
            </w:pPr>
            <w:r>
              <w:rPr>
                <w:rFonts w:ascii="Arial" w:cs="Arial" w:eastAsia="Arial" w:hAnsi="Arial"/>
                <w:sz w:val="13"/>
                <w:szCs w:val="13"/>
                <w:b w:val="1"/>
                <w:bCs w:val="1"/>
                <w:color w:val="FFFFFF"/>
              </w:rPr>
              <w:t>Option Award</w:t>
            </w:r>
          </w:p>
        </w:tc>
        <w:tc>
          <w:tcPr>
            <w:tcW w:w="940" w:type="dxa"/>
            <w:vAlign w:val="bottom"/>
            <w:shd w:val="clear" w:color="auto" w:fill="1D3060"/>
          </w:tcPr>
          <w:p>
            <w:pPr>
              <w:jc w:val="right"/>
              <w:ind w:right="49"/>
              <w:spacing w:after="0"/>
              <w:rPr>
                <w:sz w:val="20"/>
                <w:szCs w:val="20"/>
                <w:color w:val="auto"/>
              </w:rPr>
            </w:pPr>
            <w:r>
              <w:rPr>
                <w:rFonts w:ascii="Arial" w:cs="Arial" w:eastAsia="Arial" w:hAnsi="Arial"/>
                <w:sz w:val="13"/>
                <w:szCs w:val="13"/>
                <w:b w:val="1"/>
                <w:bCs w:val="1"/>
                <w:color w:val="FFFFFF"/>
              </w:rPr>
              <w:t>Total Award</w:t>
            </w:r>
          </w:p>
        </w:tc>
        <w:tc>
          <w:tcPr>
            <w:tcW w:w="0" w:type="dxa"/>
            <w:vAlign w:val="bottom"/>
          </w:tcPr>
          <w:p>
            <w:pPr>
              <w:spacing w:after="0"/>
              <w:rPr>
                <w:sz w:val="1"/>
                <w:szCs w:val="1"/>
                <w:color w:val="auto"/>
              </w:rPr>
            </w:pPr>
          </w:p>
        </w:tc>
      </w:tr>
      <w:tr>
        <w:trPr>
          <w:trHeight w:val="211"/>
        </w:trPr>
        <w:tc>
          <w:tcPr>
            <w:tcW w:w="6400" w:type="dxa"/>
            <w:vAlign w:val="bottom"/>
            <w:tcBorders>
              <w:bottom w:val="single" w:sz="8" w:color="1D3060"/>
            </w:tcBorders>
            <w:vMerge w:val="continue"/>
            <w:shd w:val="clear" w:color="auto" w:fill="1D3060"/>
          </w:tcPr>
          <w:p>
            <w:pPr>
              <w:spacing w:after="0"/>
              <w:rPr>
                <w:sz w:val="18"/>
                <w:szCs w:val="18"/>
                <w:color w:val="auto"/>
              </w:rPr>
            </w:pPr>
          </w:p>
        </w:tc>
        <w:tc>
          <w:tcPr>
            <w:tcW w:w="1060" w:type="dxa"/>
            <w:vAlign w:val="bottom"/>
            <w:tcBorders>
              <w:bottom w:val="single" w:sz="8" w:color="1D3060"/>
            </w:tcBorders>
            <w:shd w:val="clear" w:color="auto" w:fill="1D3060"/>
          </w:tcPr>
          <w:p>
            <w:pPr>
              <w:jc w:val="right"/>
              <w:ind w:right="369"/>
              <w:spacing w:after="0"/>
              <w:rPr>
                <w:sz w:val="20"/>
                <w:szCs w:val="20"/>
                <w:color w:val="auto"/>
              </w:rPr>
            </w:pPr>
            <w:r>
              <w:rPr>
                <w:rFonts w:ascii="Arial" w:cs="Arial" w:eastAsia="Arial" w:hAnsi="Arial"/>
                <w:sz w:val="13"/>
                <w:szCs w:val="13"/>
                <w:b w:val="1"/>
                <w:bCs w:val="1"/>
                <w:color w:val="FFFFFF"/>
              </w:rPr>
              <w:t>Value</w:t>
            </w:r>
          </w:p>
        </w:tc>
        <w:tc>
          <w:tcPr>
            <w:tcW w:w="1120" w:type="dxa"/>
            <w:vAlign w:val="bottom"/>
            <w:tcBorders>
              <w:bottom w:val="single" w:sz="8" w:color="1D3060"/>
            </w:tcBorders>
            <w:shd w:val="clear" w:color="auto" w:fill="1D3060"/>
          </w:tcPr>
          <w:p>
            <w:pPr>
              <w:jc w:val="right"/>
              <w:ind w:right="249"/>
              <w:spacing w:after="0"/>
              <w:rPr>
                <w:sz w:val="20"/>
                <w:szCs w:val="20"/>
                <w:color w:val="auto"/>
              </w:rPr>
            </w:pPr>
            <w:r>
              <w:rPr>
                <w:rFonts w:ascii="Arial" w:cs="Arial" w:eastAsia="Arial" w:hAnsi="Arial"/>
                <w:sz w:val="13"/>
                <w:szCs w:val="13"/>
                <w:b w:val="1"/>
                <w:bCs w:val="1"/>
                <w:color w:val="FFFFFF"/>
              </w:rPr>
              <w:t>Value</w:t>
            </w:r>
          </w:p>
        </w:tc>
        <w:tc>
          <w:tcPr>
            <w:tcW w:w="1060" w:type="dxa"/>
            <w:vAlign w:val="bottom"/>
            <w:tcBorders>
              <w:bottom w:val="single" w:sz="8" w:color="1D3060"/>
            </w:tcBorders>
            <w:shd w:val="clear" w:color="auto" w:fill="1D3060"/>
          </w:tcPr>
          <w:p>
            <w:pPr>
              <w:jc w:val="right"/>
              <w:ind w:right="269"/>
              <w:spacing w:after="0"/>
              <w:rPr>
                <w:sz w:val="20"/>
                <w:szCs w:val="20"/>
                <w:color w:val="auto"/>
              </w:rPr>
            </w:pPr>
            <w:r>
              <w:rPr>
                <w:rFonts w:ascii="Arial" w:cs="Arial" w:eastAsia="Arial" w:hAnsi="Arial"/>
                <w:sz w:val="13"/>
                <w:szCs w:val="13"/>
                <w:b w:val="1"/>
                <w:bCs w:val="1"/>
                <w:color w:val="FFFFFF"/>
              </w:rPr>
              <w:t>Value</w:t>
            </w:r>
          </w:p>
        </w:tc>
        <w:tc>
          <w:tcPr>
            <w:tcW w:w="940" w:type="dxa"/>
            <w:vAlign w:val="bottom"/>
            <w:tcBorders>
              <w:bottom w:val="single" w:sz="8" w:color="1D3060"/>
            </w:tcBorders>
            <w:shd w:val="clear" w:color="auto" w:fill="1D3060"/>
          </w:tcPr>
          <w:p>
            <w:pPr>
              <w:jc w:val="right"/>
              <w:ind w:right="249"/>
              <w:spacing w:after="0"/>
              <w:rPr>
                <w:sz w:val="20"/>
                <w:szCs w:val="20"/>
                <w:color w:val="auto"/>
              </w:rPr>
            </w:pPr>
            <w:r>
              <w:rPr>
                <w:rFonts w:ascii="Arial" w:cs="Arial" w:eastAsia="Arial" w:hAnsi="Arial"/>
                <w:sz w:val="13"/>
                <w:szCs w:val="13"/>
                <w:b w:val="1"/>
                <w:bCs w:val="1"/>
                <w:color w:val="FFFFFF"/>
              </w:rPr>
              <w:t>Value</w:t>
            </w:r>
          </w:p>
        </w:tc>
        <w:tc>
          <w:tcPr>
            <w:tcW w:w="0" w:type="dxa"/>
            <w:vAlign w:val="bottom"/>
          </w:tcPr>
          <w:p>
            <w:pPr>
              <w:spacing w:after="0"/>
              <w:rPr>
                <w:sz w:val="1"/>
                <w:szCs w:val="1"/>
                <w:color w:val="auto"/>
              </w:rPr>
            </w:pPr>
          </w:p>
        </w:tc>
      </w:tr>
      <w:tr>
        <w:trPr>
          <w:trHeight w:val="343"/>
        </w:trPr>
        <w:tc>
          <w:tcPr>
            <w:tcW w:w="6400" w:type="dxa"/>
            <w:vAlign w:val="bottom"/>
            <w:shd w:val="clear" w:color="auto" w:fill="D7E8F5"/>
          </w:tcPr>
          <w:p>
            <w:pPr>
              <w:spacing w:after="0"/>
              <w:rPr>
                <w:sz w:val="20"/>
                <w:szCs w:val="20"/>
                <w:color w:val="auto"/>
              </w:rPr>
            </w:pPr>
            <w:r>
              <w:rPr>
                <w:rFonts w:ascii="Arial" w:cs="Arial" w:eastAsia="Arial" w:hAnsi="Arial"/>
                <w:sz w:val="14"/>
                <w:szCs w:val="14"/>
                <w:color w:val="auto"/>
              </w:rPr>
              <w:t>Yvonne L. Greenstreet, MBChB, MBA</w:t>
            </w:r>
          </w:p>
        </w:tc>
        <w:tc>
          <w:tcPr>
            <w:tcW w:w="1060" w:type="dxa"/>
            <w:vAlign w:val="bottom"/>
            <w:shd w:val="clear" w:color="auto" w:fill="D7E8F5"/>
          </w:tcPr>
          <w:p>
            <w:pPr>
              <w:jc w:val="right"/>
              <w:ind w:right="189"/>
              <w:spacing w:after="0"/>
              <w:rPr>
                <w:sz w:val="20"/>
                <w:szCs w:val="20"/>
                <w:color w:val="auto"/>
              </w:rPr>
            </w:pPr>
            <w:r>
              <w:rPr>
                <w:rFonts w:ascii="Arial" w:cs="Arial" w:eastAsia="Arial" w:hAnsi="Arial"/>
                <w:sz w:val="14"/>
                <w:szCs w:val="14"/>
                <w:color w:val="auto"/>
              </w:rPr>
              <w:t>6,750,000</w:t>
            </w:r>
          </w:p>
        </w:tc>
        <w:tc>
          <w:tcPr>
            <w:tcW w:w="1120" w:type="dxa"/>
            <w:vAlign w:val="bottom"/>
            <w:shd w:val="clear" w:color="auto" w:fill="D7E8F5"/>
          </w:tcPr>
          <w:p>
            <w:pPr>
              <w:jc w:val="right"/>
              <w:ind w:right="69"/>
              <w:spacing w:after="0"/>
              <w:rPr>
                <w:sz w:val="20"/>
                <w:szCs w:val="20"/>
                <w:color w:val="auto"/>
              </w:rPr>
            </w:pPr>
            <w:r>
              <w:rPr>
                <w:rFonts w:ascii="Arial" w:cs="Arial" w:eastAsia="Arial" w:hAnsi="Arial"/>
                <w:sz w:val="14"/>
                <w:szCs w:val="14"/>
                <w:color w:val="auto"/>
              </w:rPr>
              <w:t>3,375,000</w:t>
            </w:r>
          </w:p>
        </w:tc>
        <w:tc>
          <w:tcPr>
            <w:tcW w:w="1060" w:type="dxa"/>
            <w:vAlign w:val="bottom"/>
            <w:shd w:val="clear" w:color="auto" w:fill="D7E8F5"/>
          </w:tcPr>
          <w:p>
            <w:pPr>
              <w:jc w:val="right"/>
              <w:spacing w:after="0"/>
              <w:rPr>
                <w:sz w:val="20"/>
                <w:szCs w:val="20"/>
                <w:color w:val="auto"/>
              </w:rPr>
            </w:pPr>
            <w:r>
              <w:rPr>
                <w:rFonts w:ascii="Arial" w:cs="Arial" w:eastAsia="Arial" w:hAnsi="Arial"/>
                <w:sz w:val="14"/>
                <w:szCs w:val="14"/>
                <w:color w:val="auto"/>
              </w:rPr>
              <w:t>3,375,000</w:t>
            </w:r>
          </w:p>
        </w:tc>
        <w:tc>
          <w:tcPr>
            <w:tcW w:w="940" w:type="dxa"/>
            <w:vAlign w:val="bottom"/>
            <w:shd w:val="clear" w:color="auto" w:fill="D7E8F5"/>
          </w:tcPr>
          <w:p>
            <w:pPr>
              <w:jc w:val="right"/>
              <w:ind w:right="29"/>
              <w:spacing w:after="0"/>
              <w:rPr>
                <w:sz w:val="20"/>
                <w:szCs w:val="20"/>
                <w:color w:val="auto"/>
              </w:rPr>
            </w:pPr>
            <w:r>
              <w:rPr>
                <w:rFonts w:ascii="Arial" w:cs="Arial" w:eastAsia="Arial" w:hAnsi="Arial"/>
                <w:sz w:val="14"/>
                <w:szCs w:val="14"/>
                <w:color w:val="auto"/>
              </w:rPr>
              <w:t>13,500,000</w:t>
            </w:r>
          </w:p>
        </w:tc>
        <w:tc>
          <w:tcPr>
            <w:tcW w:w="0" w:type="dxa"/>
            <w:vAlign w:val="bottom"/>
          </w:tcPr>
          <w:p>
            <w:pPr>
              <w:spacing w:after="0"/>
              <w:rPr>
                <w:sz w:val="1"/>
                <w:szCs w:val="1"/>
                <w:color w:val="auto"/>
              </w:rPr>
            </w:pPr>
          </w:p>
        </w:tc>
      </w:tr>
      <w:tr>
        <w:trPr>
          <w:trHeight w:val="116"/>
        </w:trPr>
        <w:tc>
          <w:tcPr>
            <w:tcW w:w="6400" w:type="dxa"/>
            <w:vAlign w:val="bottom"/>
            <w:shd w:val="clear" w:color="auto" w:fill="D7E8F5"/>
          </w:tcPr>
          <w:p>
            <w:pPr>
              <w:spacing w:after="0"/>
              <w:rPr>
                <w:sz w:val="10"/>
                <w:szCs w:val="10"/>
                <w:color w:val="auto"/>
              </w:rPr>
            </w:pPr>
          </w:p>
        </w:tc>
        <w:tc>
          <w:tcPr>
            <w:tcW w:w="1060" w:type="dxa"/>
            <w:vAlign w:val="bottom"/>
            <w:shd w:val="clear" w:color="auto" w:fill="D7E8F5"/>
          </w:tcPr>
          <w:p>
            <w:pPr>
              <w:spacing w:after="0"/>
              <w:rPr>
                <w:sz w:val="10"/>
                <w:szCs w:val="10"/>
                <w:color w:val="auto"/>
              </w:rPr>
            </w:pPr>
          </w:p>
        </w:tc>
        <w:tc>
          <w:tcPr>
            <w:tcW w:w="1120" w:type="dxa"/>
            <w:vAlign w:val="bottom"/>
            <w:shd w:val="clear" w:color="auto" w:fill="D7E8F5"/>
          </w:tcPr>
          <w:p>
            <w:pPr>
              <w:spacing w:after="0"/>
              <w:rPr>
                <w:sz w:val="10"/>
                <w:szCs w:val="10"/>
                <w:color w:val="auto"/>
              </w:rPr>
            </w:pPr>
          </w:p>
        </w:tc>
        <w:tc>
          <w:tcPr>
            <w:tcW w:w="1060" w:type="dxa"/>
            <w:vAlign w:val="bottom"/>
            <w:shd w:val="clear" w:color="auto" w:fill="D7E8F5"/>
          </w:tcPr>
          <w:p>
            <w:pPr>
              <w:spacing w:after="0"/>
              <w:rPr>
                <w:sz w:val="10"/>
                <w:szCs w:val="10"/>
                <w:color w:val="auto"/>
              </w:rPr>
            </w:pPr>
          </w:p>
        </w:tc>
        <w:tc>
          <w:tcPr>
            <w:tcW w:w="940" w:type="dxa"/>
            <w:vAlign w:val="bottom"/>
            <w:shd w:val="clear" w:color="auto" w:fill="D7E8F5"/>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6400" w:type="dxa"/>
            <w:vAlign w:val="bottom"/>
          </w:tcPr>
          <w:p>
            <w:pPr>
              <w:spacing w:after="0"/>
              <w:rPr>
                <w:sz w:val="20"/>
                <w:szCs w:val="20"/>
                <w:color w:val="auto"/>
              </w:rPr>
            </w:pPr>
            <w:r>
              <w:rPr>
                <w:rFonts w:ascii="Arial" w:cs="Arial" w:eastAsia="Arial" w:hAnsi="Arial"/>
                <w:sz w:val="14"/>
                <w:szCs w:val="14"/>
                <w:color w:val="auto"/>
              </w:rPr>
              <w:t>Jeffrey V. Poulton</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2,175,000</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1,087,500</w:t>
            </w:r>
          </w:p>
        </w:tc>
        <w:tc>
          <w:tcPr>
            <w:tcW w:w="1060" w:type="dxa"/>
            <w:vAlign w:val="bottom"/>
          </w:tcPr>
          <w:p>
            <w:pPr>
              <w:jc w:val="right"/>
              <w:spacing w:after="0"/>
              <w:rPr>
                <w:sz w:val="20"/>
                <w:szCs w:val="20"/>
                <w:color w:val="auto"/>
              </w:rPr>
            </w:pPr>
            <w:r>
              <w:rPr>
                <w:rFonts w:ascii="Arial" w:cs="Arial" w:eastAsia="Arial" w:hAnsi="Arial"/>
                <w:sz w:val="14"/>
                <w:szCs w:val="14"/>
                <w:color w:val="auto"/>
              </w:rPr>
              <w:t>1,087,500</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4,350,000</w:t>
            </w:r>
          </w:p>
        </w:tc>
        <w:tc>
          <w:tcPr>
            <w:tcW w:w="0" w:type="dxa"/>
            <w:vAlign w:val="bottom"/>
          </w:tcPr>
          <w:p>
            <w:pPr>
              <w:spacing w:after="0"/>
              <w:rPr>
                <w:sz w:val="1"/>
                <w:szCs w:val="1"/>
                <w:color w:val="auto"/>
              </w:rPr>
            </w:pPr>
          </w:p>
        </w:tc>
      </w:tr>
      <w:tr>
        <w:trPr>
          <w:trHeight w:val="116"/>
        </w:trPr>
        <w:tc>
          <w:tcPr>
            <w:tcW w:w="6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6400" w:type="dxa"/>
            <w:vAlign w:val="bottom"/>
            <w:shd w:val="clear" w:color="auto" w:fill="D7E8F5"/>
          </w:tcPr>
          <w:p>
            <w:pPr>
              <w:spacing w:after="0"/>
              <w:rPr>
                <w:sz w:val="20"/>
                <w:szCs w:val="20"/>
                <w:color w:val="auto"/>
              </w:rPr>
            </w:pPr>
            <w:r>
              <w:rPr>
                <w:rFonts w:ascii="Arial" w:cs="Arial" w:eastAsia="Arial" w:hAnsi="Arial"/>
                <w:sz w:val="14"/>
                <w:szCs w:val="14"/>
                <w:color w:val="auto"/>
              </w:rPr>
              <w:t>Pushkal Garg, M.D.</w:t>
            </w:r>
          </w:p>
        </w:tc>
        <w:tc>
          <w:tcPr>
            <w:tcW w:w="1060" w:type="dxa"/>
            <w:vAlign w:val="bottom"/>
            <w:shd w:val="clear" w:color="auto" w:fill="D7E8F5"/>
          </w:tcPr>
          <w:p>
            <w:pPr>
              <w:jc w:val="right"/>
              <w:ind w:right="189"/>
              <w:spacing w:after="0"/>
              <w:rPr>
                <w:sz w:val="20"/>
                <w:szCs w:val="20"/>
                <w:color w:val="auto"/>
              </w:rPr>
            </w:pPr>
            <w:r>
              <w:rPr>
                <w:rFonts w:ascii="Arial" w:cs="Arial" w:eastAsia="Arial" w:hAnsi="Arial"/>
                <w:sz w:val="14"/>
                <w:szCs w:val="14"/>
                <w:color w:val="auto"/>
              </w:rPr>
              <w:t>2,175,000</w:t>
            </w:r>
          </w:p>
        </w:tc>
        <w:tc>
          <w:tcPr>
            <w:tcW w:w="1120" w:type="dxa"/>
            <w:vAlign w:val="bottom"/>
            <w:shd w:val="clear" w:color="auto" w:fill="D7E8F5"/>
          </w:tcPr>
          <w:p>
            <w:pPr>
              <w:jc w:val="right"/>
              <w:ind w:right="69"/>
              <w:spacing w:after="0"/>
              <w:rPr>
                <w:sz w:val="20"/>
                <w:szCs w:val="20"/>
                <w:color w:val="auto"/>
              </w:rPr>
            </w:pPr>
            <w:r>
              <w:rPr>
                <w:rFonts w:ascii="Arial" w:cs="Arial" w:eastAsia="Arial" w:hAnsi="Arial"/>
                <w:sz w:val="14"/>
                <w:szCs w:val="14"/>
                <w:color w:val="auto"/>
              </w:rPr>
              <w:t>1,087,500</w:t>
            </w:r>
          </w:p>
        </w:tc>
        <w:tc>
          <w:tcPr>
            <w:tcW w:w="1060" w:type="dxa"/>
            <w:vAlign w:val="bottom"/>
            <w:shd w:val="clear" w:color="auto" w:fill="D7E8F5"/>
          </w:tcPr>
          <w:p>
            <w:pPr>
              <w:jc w:val="right"/>
              <w:spacing w:after="0"/>
              <w:rPr>
                <w:sz w:val="20"/>
                <w:szCs w:val="20"/>
                <w:color w:val="auto"/>
              </w:rPr>
            </w:pPr>
            <w:r>
              <w:rPr>
                <w:rFonts w:ascii="Arial" w:cs="Arial" w:eastAsia="Arial" w:hAnsi="Arial"/>
                <w:sz w:val="14"/>
                <w:szCs w:val="14"/>
                <w:color w:val="auto"/>
              </w:rPr>
              <w:t>1,087,500</w:t>
            </w:r>
          </w:p>
        </w:tc>
        <w:tc>
          <w:tcPr>
            <w:tcW w:w="940" w:type="dxa"/>
            <w:vAlign w:val="bottom"/>
            <w:shd w:val="clear" w:color="auto" w:fill="D7E8F5"/>
          </w:tcPr>
          <w:p>
            <w:pPr>
              <w:jc w:val="right"/>
              <w:ind w:right="29"/>
              <w:spacing w:after="0"/>
              <w:rPr>
                <w:sz w:val="20"/>
                <w:szCs w:val="20"/>
                <w:color w:val="auto"/>
              </w:rPr>
            </w:pPr>
            <w:r>
              <w:rPr>
                <w:rFonts w:ascii="Arial" w:cs="Arial" w:eastAsia="Arial" w:hAnsi="Arial"/>
                <w:sz w:val="14"/>
                <w:szCs w:val="14"/>
                <w:color w:val="auto"/>
              </w:rPr>
              <w:t>4,350,000</w:t>
            </w:r>
          </w:p>
        </w:tc>
        <w:tc>
          <w:tcPr>
            <w:tcW w:w="0" w:type="dxa"/>
            <w:vAlign w:val="bottom"/>
          </w:tcPr>
          <w:p>
            <w:pPr>
              <w:spacing w:after="0"/>
              <w:rPr>
                <w:sz w:val="1"/>
                <w:szCs w:val="1"/>
                <w:color w:val="auto"/>
              </w:rPr>
            </w:pPr>
          </w:p>
        </w:tc>
      </w:tr>
      <w:tr>
        <w:trPr>
          <w:trHeight w:val="116"/>
        </w:trPr>
        <w:tc>
          <w:tcPr>
            <w:tcW w:w="6400" w:type="dxa"/>
            <w:vAlign w:val="bottom"/>
            <w:shd w:val="clear" w:color="auto" w:fill="D7E8F5"/>
          </w:tcPr>
          <w:p>
            <w:pPr>
              <w:spacing w:after="0"/>
              <w:rPr>
                <w:sz w:val="10"/>
                <w:szCs w:val="10"/>
                <w:color w:val="auto"/>
              </w:rPr>
            </w:pPr>
          </w:p>
        </w:tc>
        <w:tc>
          <w:tcPr>
            <w:tcW w:w="1060" w:type="dxa"/>
            <w:vAlign w:val="bottom"/>
            <w:shd w:val="clear" w:color="auto" w:fill="D7E8F5"/>
          </w:tcPr>
          <w:p>
            <w:pPr>
              <w:spacing w:after="0"/>
              <w:rPr>
                <w:sz w:val="10"/>
                <w:szCs w:val="10"/>
                <w:color w:val="auto"/>
              </w:rPr>
            </w:pPr>
          </w:p>
        </w:tc>
        <w:tc>
          <w:tcPr>
            <w:tcW w:w="1120" w:type="dxa"/>
            <w:vAlign w:val="bottom"/>
            <w:shd w:val="clear" w:color="auto" w:fill="D7E8F5"/>
          </w:tcPr>
          <w:p>
            <w:pPr>
              <w:spacing w:after="0"/>
              <w:rPr>
                <w:sz w:val="10"/>
                <w:szCs w:val="10"/>
                <w:color w:val="auto"/>
              </w:rPr>
            </w:pPr>
          </w:p>
        </w:tc>
        <w:tc>
          <w:tcPr>
            <w:tcW w:w="1060" w:type="dxa"/>
            <w:vAlign w:val="bottom"/>
            <w:shd w:val="clear" w:color="auto" w:fill="D7E8F5"/>
          </w:tcPr>
          <w:p>
            <w:pPr>
              <w:spacing w:after="0"/>
              <w:rPr>
                <w:sz w:val="10"/>
                <w:szCs w:val="10"/>
                <w:color w:val="auto"/>
              </w:rPr>
            </w:pPr>
          </w:p>
        </w:tc>
        <w:tc>
          <w:tcPr>
            <w:tcW w:w="940" w:type="dxa"/>
            <w:vAlign w:val="bottom"/>
            <w:shd w:val="clear" w:color="auto" w:fill="D7E8F5"/>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6400" w:type="dxa"/>
            <w:vAlign w:val="bottom"/>
          </w:tcPr>
          <w:p>
            <w:pPr>
              <w:spacing w:after="0"/>
              <w:rPr>
                <w:sz w:val="20"/>
                <w:szCs w:val="20"/>
                <w:color w:val="auto"/>
              </w:rPr>
            </w:pPr>
            <w:r>
              <w:rPr>
                <w:rFonts w:ascii="Arial" w:cs="Arial" w:eastAsia="Arial" w:hAnsi="Arial"/>
                <w:sz w:val="14"/>
                <w:szCs w:val="14"/>
                <w:color w:val="auto"/>
              </w:rPr>
              <w:t>Tolga Tanguler</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1,900,000</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950,000</w:t>
            </w:r>
          </w:p>
        </w:tc>
        <w:tc>
          <w:tcPr>
            <w:tcW w:w="1060" w:type="dxa"/>
            <w:vAlign w:val="bottom"/>
          </w:tcPr>
          <w:p>
            <w:pPr>
              <w:jc w:val="right"/>
              <w:spacing w:after="0"/>
              <w:rPr>
                <w:sz w:val="20"/>
                <w:szCs w:val="20"/>
                <w:color w:val="auto"/>
              </w:rPr>
            </w:pPr>
            <w:r>
              <w:rPr>
                <w:rFonts w:ascii="Arial" w:cs="Arial" w:eastAsia="Arial" w:hAnsi="Arial"/>
                <w:sz w:val="14"/>
                <w:szCs w:val="14"/>
                <w:color w:val="auto"/>
              </w:rPr>
              <w:t>950,000</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3,800,000</w:t>
            </w:r>
          </w:p>
        </w:tc>
        <w:tc>
          <w:tcPr>
            <w:tcW w:w="0" w:type="dxa"/>
            <w:vAlign w:val="bottom"/>
          </w:tcPr>
          <w:p>
            <w:pPr>
              <w:spacing w:after="0"/>
              <w:rPr>
                <w:sz w:val="1"/>
                <w:szCs w:val="1"/>
                <w:color w:val="auto"/>
              </w:rPr>
            </w:pPr>
          </w:p>
        </w:tc>
      </w:tr>
      <w:tr>
        <w:trPr>
          <w:trHeight w:val="116"/>
        </w:trPr>
        <w:tc>
          <w:tcPr>
            <w:tcW w:w="6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6400" w:type="dxa"/>
            <w:vAlign w:val="bottom"/>
            <w:shd w:val="clear" w:color="auto" w:fill="D7E8F5"/>
          </w:tcPr>
          <w:p>
            <w:pPr>
              <w:spacing w:after="0"/>
              <w:rPr>
                <w:sz w:val="20"/>
                <w:szCs w:val="20"/>
                <w:color w:val="auto"/>
              </w:rPr>
            </w:pPr>
            <w:r>
              <w:rPr>
                <w:rFonts w:ascii="Arial" w:cs="Arial" w:eastAsia="Arial" w:hAnsi="Arial"/>
                <w:sz w:val="14"/>
                <w:szCs w:val="14"/>
                <w:color w:val="auto"/>
              </w:rPr>
              <w:t>Indrani L. Franchini, J.D.(1)</w:t>
            </w:r>
          </w:p>
        </w:tc>
        <w:tc>
          <w:tcPr>
            <w:tcW w:w="1060" w:type="dxa"/>
            <w:vAlign w:val="bottom"/>
            <w:shd w:val="clear" w:color="auto" w:fill="D7E8F5"/>
          </w:tcPr>
          <w:p>
            <w:pPr>
              <w:jc w:val="right"/>
              <w:ind w:right="189"/>
              <w:spacing w:after="0"/>
              <w:rPr>
                <w:sz w:val="20"/>
                <w:szCs w:val="20"/>
                <w:color w:val="auto"/>
              </w:rPr>
            </w:pPr>
            <w:r>
              <w:rPr>
                <w:rFonts w:ascii="Arial" w:cs="Arial" w:eastAsia="Arial" w:hAnsi="Arial"/>
                <w:sz w:val="14"/>
                <w:szCs w:val="14"/>
                <w:color w:val="auto"/>
              </w:rPr>
              <w:t>1,000,000</w:t>
            </w:r>
          </w:p>
        </w:tc>
        <w:tc>
          <w:tcPr>
            <w:tcW w:w="1120" w:type="dxa"/>
            <w:vAlign w:val="bottom"/>
            <w:shd w:val="clear" w:color="auto" w:fill="D7E8F5"/>
          </w:tcPr>
          <w:p>
            <w:pPr>
              <w:jc w:val="right"/>
              <w:ind w:right="69"/>
              <w:spacing w:after="0"/>
              <w:rPr>
                <w:sz w:val="20"/>
                <w:szCs w:val="20"/>
                <w:color w:val="auto"/>
              </w:rPr>
            </w:pPr>
            <w:r>
              <w:rPr>
                <w:rFonts w:ascii="Arial" w:cs="Arial" w:eastAsia="Arial" w:hAnsi="Arial"/>
                <w:sz w:val="14"/>
                <w:szCs w:val="14"/>
                <w:color w:val="auto"/>
              </w:rPr>
              <w:t>500,000</w:t>
            </w:r>
          </w:p>
        </w:tc>
        <w:tc>
          <w:tcPr>
            <w:tcW w:w="1060" w:type="dxa"/>
            <w:vAlign w:val="bottom"/>
            <w:shd w:val="clear" w:color="auto" w:fill="D7E8F5"/>
          </w:tcPr>
          <w:p>
            <w:pPr>
              <w:jc w:val="right"/>
              <w:spacing w:after="0"/>
              <w:rPr>
                <w:sz w:val="20"/>
                <w:szCs w:val="20"/>
                <w:color w:val="auto"/>
              </w:rPr>
            </w:pPr>
            <w:r>
              <w:rPr>
                <w:rFonts w:ascii="Arial" w:cs="Arial" w:eastAsia="Arial" w:hAnsi="Arial"/>
                <w:sz w:val="14"/>
                <w:szCs w:val="14"/>
                <w:color w:val="auto"/>
              </w:rPr>
              <w:t>500,000</w:t>
            </w:r>
          </w:p>
        </w:tc>
        <w:tc>
          <w:tcPr>
            <w:tcW w:w="940" w:type="dxa"/>
            <w:vAlign w:val="bottom"/>
            <w:shd w:val="clear" w:color="auto" w:fill="D7E8F5"/>
          </w:tcPr>
          <w:p>
            <w:pPr>
              <w:jc w:val="right"/>
              <w:ind w:right="29"/>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16"/>
        </w:trPr>
        <w:tc>
          <w:tcPr>
            <w:tcW w:w="6400" w:type="dxa"/>
            <w:vAlign w:val="bottom"/>
            <w:shd w:val="clear" w:color="auto" w:fill="D7E8F5"/>
          </w:tcPr>
          <w:p>
            <w:pPr>
              <w:spacing w:after="0"/>
              <w:rPr>
                <w:sz w:val="10"/>
                <w:szCs w:val="10"/>
                <w:color w:val="auto"/>
              </w:rPr>
            </w:pPr>
          </w:p>
        </w:tc>
        <w:tc>
          <w:tcPr>
            <w:tcW w:w="1060" w:type="dxa"/>
            <w:vAlign w:val="bottom"/>
            <w:shd w:val="clear" w:color="auto" w:fill="D7E8F5"/>
          </w:tcPr>
          <w:p>
            <w:pPr>
              <w:spacing w:after="0"/>
              <w:rPr>
                <w:sz w:val="10"/>
                <w:szCs w:val="10"/>
                <w:color w:val="auto"/>
              </w:rPr>
            </w:pPr>
          </w:p>
        </w:tc>
        <w:tc>
          <w:tcPr>
            <w:tcW w:w="1120" w:type="dxa"/>
            <w:vAlign w:val="bottom"/>
            <w:shd w:val="clear" w:color="auto" w:fill="D7E8F5"/>
          </w:tcPr>
          <w:p>
            <w:pPr>
              <w:spacing w:after="0"/>
              <w:rPr>
                <w:sz w:val="10"/>
                <w:szCs w:val="10"/>
                <w:color w:val="auto"/>
              </w:rPr>
            </w:pPr>
          </w:p>
        </w:tc>
        <w:tc>
          <w:tcPr>
            <w:tcW w:w="1060" w:type="dxa"/>
            <w:vAlign w:val="bottom"/>
            <w:shd w:val="clear" w:color="auto" w:fill="D7E8F5"/>
          </w:tcPr>
          <w:p>
            <w:pPr>
              <w:spacing w:after="0"/>
              <w:rPr>
                <w:sz w:val="10"/>
                <w:szCs w:val="10"/>
                <w:color w:val="auto"/>
              </w:rPr>
            </w:pPr>
          </w:p>
        </w:tc>
        <w:tc>
          <w:tcPr>
            <w:tcW w:w="940" w:type="dxa"/>
            <w:vAlign w:val="bottom"/>
            <w:shd w:val="clear" w:color="auto" w:fill="D7E8F5"/>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6400" w:type="dxa"/>
            <w:vAlign w:val="bottom"/>
          </w:tcPr>
          <w:p>
            <w:pPr>
              <w:spacing w:after="0"/>
              <w:rPr>
                <w:sz w:val="20"/>
                <w:szCs w:val="20"/>
                <w:color w:val="auto"/>
              </w:rPr>
            </w:pPr>
            <w:r>
              <w:rPr>
                <w:rFonts w:ascii="Arial" w:cs="Arial" w:eastAsia="Arial" w:hAnsi="Arial"/>
                <w:sz w:val="14"/>
                <w:szCs w:val="14"/>
                <w:color w:val="auto"/>
              </w:rPr>
              <w:t>Akshay K. Vaishnaw, M.D., Ph.D.(2)</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2,200,000</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1,100,000</w:t>
            </w:r>
          </w:p>
        </w:tc>
        <w:tc>
          <w:tcPr>
            <w:tcW w:w="1060" w:type="dxa"/>
            <w:vAlign w:val="bottom"/>
          </w:tcPr>
          <w:p>
            <w:pPr>
              <w:jc w:val="right"/>
              <w:spacing w:after="0"/>
              <w:rPr>
                <w:sz w:val="20"/>
                <w:szCs w:val="20"/>
                <w:color w:val="auto"/>
              </w:rPr>
            </w:pPr>
            <w:r>
              <w:rPr>
                <w:rFonts w:ascii="Arial" w:cs="Arial" w:eastAsia="Arial" w:hAnsi="Arial"/>
                <w:sz w:val="14"/>
                <w:szCs w:val="14"/>
                <w:color w:val="auto"/>
              </w:rPr>
              <w:t>1,100,000</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4,400,000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73660</wp:posOffset>
            </wp:positionV>
            <wp:extent cx="67119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217" w:lineRule="exact"/>
        <w:rPr>
          <w:sz w:val="20"/>
          <w:szCs w:val="20"/>
          <w:color w:val="auto"/>
        </w:rPr>
      </w:pPr>
    </w:p>
    <w:p>
      <w:pPr>
        <w:ind w:left="980" w:hanging="540"/>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Ms. Franchini’s employment with us terminated effective March 1, 2024.</w:t>
      </w:r>
    </w:p>
    <w:p>
      <w:pPr>
        <w:spacing w:after="0" w:line="248" w:lineRule="exact"/>
        <w:rPr>
          <w:rFonts w:ascii="Arial" w:cs="Arial" w:eastAsia="Arial" w:hAnsi="Arial"/>
          <w:sz w:val="16"/>
          <w:szCs w:val="16"/>
          <w:color w:val="auto"/>
        </w:rPr>
      </w:pPr>
    </w:p>
    <w:p>
      <w:pPr>
        <w:ind w:left="980" w:right="180" w:hanging="540"/>
        <w:spacing w:after="0" w:line="286"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Dr. Vaishnaw ceased serving as an executive officer effective October 2, 2023 when he transitioned from the role of President to a part-time role as Chief Innovation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80" w:firstLine="771"/>
        <w:spacing w:after="0" w:line="224" w:lineRule="auto"/>
        <w:rPr>
          <w:sz w:val="20"/>
          <w:szCs w:val="20"/>
          <w:color w:val="auto"/>
        </w:rPr>
      </w:pPr>
      <w:r>
        <w:rPr>
          <w:rFonts w:ascii="Arial" w:cs="Arial" w:eastAsia="Arial" w:hAnsi="Arial"/>
          <w:sz w:val="20"/>
          <w:szCs w:val="20"/>
          <w:color w:val="auto"/>
        </w:rPr>
        <w:t xml:space="preserve">Similar to prior years, the PC&amp;C committee reviewed and selected performance goals for the 2023 PSU awards that are consistent with our long-range plan, including our </w:t>
      </w:r>
      <w:r>
        <w:rPr>
          <w:rFonts w:ascii="Arial" w:cs="Arial" w:eastAsia="Arial" w:hAnsi="Arial"/>
          <w:sz w:val="20"/>
          <w:szCs w:val="20"/>
          <w:i w:val="1"/>
          <w:iCs w:val="1"/>
          <w:color w:val="auto"/>
        </w:rPr>
        <w:t>P</w:t>
      </w:r>
      <w:r>
        <w:rPr>
          <w:rFonts w:ascii="Arial" w:cs="Arial" w:eastAsia="Arial" w:hAnsi="Arial"/>
          <w:sz w:val="29"/>
          <w:szCs w:val="29"/>
          <w:i w:val="1"/>
          <w:iCs w:val="1"/>
          <w:color w:val="auto"/>
          <w:vertAlign w:val="superscript"/>
        </w:rPr>
        <w:t>5</w:t>
      </w:r>
      <w:r>
        <w:rPr>
          <w:rFonts w:ascii="Arial" w:cs="Arial" w:eastAsia="Arial" w:hAnsi="Arial"/>
          <w:sz w:val="20"/>
          <w:szCs w:val="20"/>
          <w:i w:val="1"/>
          <w:iCs w:val="1"/>
          <w:color w:val="auto"/>
        </w:rPr>
        <w:t>x25</w:t>
      </w:r>
      <w:r>
        <w:rPr>
          <w:rFonts w:ascii="Arial" w:cs="Arial" w:eastAsia="Arial" w:hAnsi="Arial"/>
          <w:sz w:val="20"/>
          <w:szCs w:val="20"/>
          <w:color w:val="auto"/>
        </w:rPr>
        <w:t xml:space="preserve"> strategy, and that represent multi-year strategic objectives that are clinical development, regulatory and/or financial milestones. The PC&amp;C committee believes that these performance goals were appropriate for the fiscal 2023 annual equity award because they balance growth within our current TTR business and expansion into other tissue areas and disease states with financial performance in achieving profitability by fiscal 2025, which aligns with such goal in our </w:t>
      </w:r>
      <w:r>
        <w:rPr>
          <w:rFonts w:ascii="Arial" w:cs="Arial" w:eastAsia="Arial" w:hAnsi="Arial"/>
          <w:sz w:val="20"/>
          <w:szCs w:val="20"/>
          <w:i w:val="1"/>
          <w:iCs w:val="1"/>
          <w:color w:val="auto"/>
        </w:rPr>
        <w:t>P</w:t>
      </w:r>
      <w:r>
        <w:rPr>
          <w:rFonts w:ascii="Arial" w:cs="Arial" w:eastAsia="Arial" w:hAnsi="Arial"/>
          <w:sz w:val="29"/>
          <w:szCs w:val="29"/>
          <w:i w:val="1"/>
          <w:iCs w:val="1"/>
          <w:color w:val="auto"/>
          <w:vertAlign w:val="superscript"/>
        </w:rPr>
        <w:t>5</w:t>
      </w:r>
      <w:r>
        <w:rPr>
          <w:rFonts w:ascii="Arial" w:cs="Arial" w:eastAsia="Arial" w:hAnsi="Arial"/>
          <w:sz w:val="20"/>
          <w:szCs w:val="20"/>
          <w:i w:val="1"/>
          <w:iCs w:val="1"/>
          <w:color w:val="auto"/>
        </w:rPr>
        <w:t>X25</w:t>
      </w:r>
      <w:r>
        <w:rPr>
          <w:rFonts w:ascii="Arial" w:cs="Arial" w:eastAsia="Arial" w:hAnsi="Arial"/>
          <w:sz w:val="20"/>
          <w:szCs w:val="20"/>
          <w:color w:val="auto"/>
        </w:rPr>
        <w:t xml:space="preserve"> strategy.</w:t>
      </w:r>
    </w:p>
    <w:p>
      <w:pPr>
        <w:spacing w:after="0" w:line="31" w:lineRule="exact"/>
        <w:rPr>
          <w:sz w:val="20"/>
          <w:szCs w:val="20"/>
          <w:color w:val="auto"/>
        </w:rPr>
      </w:pPr>
    </w:p>
    <w:p>
      <w:pPr>
        <w:ind w:left="120" w:right="120" w:firstLine="771"/>
        <w:spacing w:after="0" w:line="257" w:lineRule="auto"/>
        <w:rPr>
          <w:sz w:val="20"/>
          <w:szCs w:val="20"/>
          <w:color w:val="auto"/>
        </w:rPr>
      </w:pPr>
      <w:r>
        <w:rPr>
          <w:rFonts w:ascii="Arial" w:cs="Arial" w:eastAsia="Arial" w:hAnsi="Arial"/>
          <w:sz w:val="20"/>
          <w:szCs w:val="20"/>
          <w:color w:val="auto"/>
        </w:rPr>
        <w:t>The chart below lists the performance goals for our 2023 PSU award, along with the performance goals for currently outstanding PSU awards, noting which goals have been achieved to date.</w:t>
      </w:r>
    </w:p>
    <w:p>
      <w:pPr>
        <w:spacing w:after="0" w:line="184" w:lineRule="exact"/>
        <w:rPr>
          <w:sz w:val="20"/>
          <w:szCs w:val="20"/>
          <w:color w:val="auto"/>
        </w:rPr>
      </w:pPr>
    </w:p>
    <w:tbl>
      <w:tblPr>
        <w:tblLayout w:type="fixed"/>
        <w:tblInd w:w="1010" w:type="dxa"/>
        <w:tblCellMar>
          <w:top w:w="0" w:type="dxa"/>
          <w:left w:w="0" w:type="dxa"/>
          <w:bottom w:w="0" w:type="dxa"/>
          <w:right w:w="0" w:type="dxa"/>
        </w:tblCellMar>
      </w:tblPr>
      <w:tr>
        <w:trPr>
          <w:trHeight w:val="156"/>
        </w:trPr>
        <w:tc>
          <w:tcPr>
            <w:tcW w:w="2340" w:type="dxa"/>
            <w:vAlign w:val="bottom"/>
            <w:tcBorders>
              <w:top w:val="single" w:sz="8" w:color="auto"/>
              <w:left w:val="single" w:sz="8" w:color="auto"/>
              <w:right w:val="single" w:sz="8" w:color="auto"/>
            </w:tcBorders>
            <w:vMerge w:val="restart"/>
            <w:shd w:val="clear" w:color="auto" w:fill="1D3060"/>
          </w:tcPr>
          <w:p>
            <w:pPr>
              <w:ind w:left="160"/>
              <w:spacing w:after="0"/>
              <w:rPr>
                <w:sz w:val="20"/>
                <w:szCs w:val="20"/>
                <w:color w:val="auto"/>
              </w:rPr>
            </w:pPr>
            <w:r>
              <w:rPr>
                <w:rFonts w:ascii="Arial" w:cs="Arial" w:eastAsia="Arial" w:hAnsi="Arial"/>
                <w:sz w:val="15"/>
                <w:szCs w:val="15"/>
                <w:b w:val="1"/>
                <w:bCs w:val="1"/>
                <w:color w:val="FFFFFF"/>
              </w:rPr>
              <w:t>  Date of Grant</w:t>
            </w:r>
          </w:p>
        </w:tc>
        <w:tc>
          <w:tcPr>
            <w:tcW w:w="80" w:type="dxa"/>
            <w:vAlign w:val="bottom"/>
            <w:tcBorders>
              <w:top w:val="single" w:sz="8" w:color="auto"/>
            </w:tcBorders>
            <w:shd w:val="clear" w:color="auto" w:fill="1D3060"/>
          </w:tcPr>
          <w:p>
            <w:pPr>
              <w:spacing w:after="0"/>
              <w:rPr>
                <w:sz w:val="13"/>
                <w:szCs w:val="13"/>
                <w:color w:val="auto"/>
              </w:rPr>
            </w:pPr>
          </w:p>
        </w:tc>
        <w:tc>
          <w:tcPr>
            <w:tcW w:w="220" w:type="dxa"/>
            <w:vAlign w:val="bottom"/>
            <w:tcBorders>
              <w:top w:val="single" w:sz="8" w:color="auto"/>
            </w:tcBorders>
            <w:shd w:val="clear" w:color="auto" w:fill="1D3060"/>
          </w:tcPr>
          <w:p>
            <w:pPr>
              <w:spacing w:after="0"/>
              <w:rPr>
                <w:sz w:val="13"/>
                <w:szCs w:val="13"/>
                <w:color w:val="auto"/>
              </w:rPr>
            </w:pPr>
          </w:p>
        </w:tc>
        <w:tc>
          <w:tcPr>
            <w:tcW w:w="4780" w:type="dxa"/>
            <w:vAlign w:val="bottom"/>
            <w:tcBorders>
              <w:top w:val="single" w:sz="8" w:color="auto"/>
              <w:right w:val="single" w:sz="8" w:color="auto"/>
            </w:tcBorders>
            <w:vMerge w:val="restart"/>
            <w:shd w:val="clear" w:color="auto" w:fill="1D3060"/>
          </w:tcPr>
          <w:p>
            <w:pPr>
              <w:ind w:left="1000"/>
              <w:spacing w:after="0"/>
              <w:rPr>
                <w:sz w:val="20"/>
                <w:szCs w:val="20"/>
                <w:color w:val="auto"/>
              </w:rPr>
            </w:pPr>
            <w:r>
              <w:rPr>
                <w:rFonts w:ascii="Arial" w:cs="Arial" w:eastAsia="Arial" w:hAnsi="Arial"/>
                <w:sz w:val="15"/>
                <w:szCs w:val="15"/>
                <w:b w:val="1"/>
                <w:bCs w:val="1"/>
                <w:color w:val="FFFFFF"/>
              </w:rPr>
              <w:t xml:space="preserve">  Performance Goal (Weighting %) </w:t>
            </w:r>
          </w:p>
        </w:tc>
        <w:tc>
          <w:tcPr>
            <w:tcW w:w="1860" w:type="dxa"/>
            <w:vAlign w:val="bottom"/>
            <w:tcBorders>
              <w:top w:val="single" w:sz="8" w:color="auto"/>
              <w:right w:val="single" w:sz="8" w:color="auto"/>
            </w:tcBorders>
            <w:shd w:val="clear" w:color="auto" w:fill="1D3060"/>
          </w:tcPr>
          <w:p>
            <w:pPr>
              <w:ind w:left="400"/>
              <w:spacing w:after="0" w:line="156" w:lineRule="exact"/>
              <w:rPr>
                <w:sz w:val="20"/>
                <w:szCs w:val="20"/>
                <w:color w:val="auto"/>
              </w:rPr>
            </w:pPr>
            <w:r>
              <w:rPr>
                <w:rFonts w:ascii="Arial" w:cs="Arial" w:eastAsia="Arial" w:hAnsi="Arial"/>
                <w:sz w:val="15"/>
                <w:szCs w:val="15"/>
                <w:b w:val="1"/>
                <w:bCs w:val="1"/>
                <w:color w:val="FFFFFF"/>
              </w:rPr>
              <w:t>  Achieved//Not </w:t>
            </w:r>
          </w:p>
        </w:tc>
        <w:tc>
          <w:tcPr>
            <w:tcW w:w="0" w:type="dxa"/>
            <w:vAlign w:val="bottom"/>
          </w:tcPr>
          <w:p>
            <w:pPr>
              <w:spacing w:after="0"/>
              <w:rPr>
                <w:sz w:val="1"/>
                <w:szCs w:val="1"/>
                <w:color w:val="auto"/>
              </w:rPr>
            </w:pPr>
          </w:p>
        </w:tc>
      </w:tr>
      <w:tr>
        <w:trPr>
          <w:trHeight w:val="181"/>
        </w:trPr>
        <w:tc>
          <w:tcPr>
            <w:tcW w:w="2340" w:type="dxa"/>
            <w:vAlign w:val="bottom"/>
            <w:tcBorders>
              <w:left w:val="single" w:sz="8" w:color="auto"/>
              <w:bottom w:val="single" w:sz="8" w:color="auto"/>
              <w:right w:val="single" w:sz="8" w:color="auto"/>
            </w:tcBorders>
            <w:vMerge w:val="continue"/>
            <w:shd w:val="clear" w:color="auto" w:fill="1D3060"/>
          </w:tcPr>
          <w:p>
            <w:pPr>
              <w:spacing w:after="0"/>
              <w:rPr>
                <w:sz w:val="15"/>
                <w:szCs w:val="15"/>
                <w:color w:val="auto"/>
              </w:rPr>
            </w:pPr>
          </w:p>
        </w:tc>
        <w:tc>
          <w:tcPr>
            <w:tcW w:w="80" w:type="dxa"/>
            <w:vAlign w:val="bottom"/>
            <w:tcBorders>
              <w:bottom w:val="single" w:sz="8" w:color="auto"/>
            </w:tcBorders>
            <w:shd w:val="clear" w:color="auto" w:fill="1D3060"/>
          </w:tcPr>
          <w:p>
            <w:pPr>
              <w:spacing w:after="0"/>
              <w:rPr>
                <w:sz w:val="15"/>
                <w:szCs w:val="15"/>
                <w:color w:val="auto"/>
              </w:rPr>
            </w:pPr>
          </w:p>
        </w:tc>
        <w:tc>
          <w:tcPr>
            <w:tcW w:w="220" w:type="dxa"/>
            <w:vAlign w:val="bottom"/>
            <w:tcBorders>
              <w:bottom w:val="single" w:sz="8" w:color="auto"/>
            </w:tcBorders>
            <w:shd w:val="clear" w:color="auto" w:fill="1D3060"/>
          </w:tcPr>
          <w:p>
            <w:pPr>
              <w:spacing w:after="0"/>
              <w:rPr>
                <w:sz w:val="15"/>
                <w:szCs w:val="15"/>
                <w:color w:val="auto"/>
              </w:rPr>
            </w:pPr>
          </w:p>
        </w:tc>
        <w:tc>
          <w:tcPr>
            <w:tcW w:w="4780" w:type="dxa"/>
            <w:vAlign w:val="bottom"/>
            <w:tcBorders>
              <w:bottom w:val="single" w:sz="8" w:color="auto"/>
              <w:right w:val="single" w:sz="8" w:color="auto"/>
            </w:tcBorders>
            <w:vMerge w:val="continue"/>
            <w:shd w:val="clear" w:color="auto" w:fill="1D3060"/>
          </w:tcPr>
          <w:p>
            <w:pPr>
              <w:spacing w:after="0"/>
              <w:rPr>
                <w:sz w:val="15"/>
                <w:szCs w:val="15"/>
                <w:color w:val="auto"/>
              </w:rPr>
            </w:pPr>
          </w:p>
        </w:tc>
        <w:tc>
          <w:tcPr>
            <w:tcW w:w="1860" w:type="dxa"/>
            <w:vAlign w:val="bottom"/>
            <w:tcBorders>
              <w:bottom w:val="single" w:sz="8" w:color="auto"/>
              <w:right w:val="single" w:sz="8" w:color="auto"/>
            </w:tcBorders>
            <w:shd w:val="clear" w:color="auto" w:fill="1D3060"/>
          </w:tcPr>
          <w:p>
            <w:pPr>
              <w:ind w:left="500"/>
              <w:spacing w:after="0"/>
              <w:rPr>
                <w:sz w:val="20"/>
                <w:szCs w:val="20"/>
                <w:color w:val="auto"/>
              </w:rPr>
            </w:pPr>
            <w:r>
              <w:rPr>
                <w:rFonts w:ascii="Arial" w:cs="Arial" w:eastAsia="Arial" w:hAnsi="Arial"/>
                <w:sz w:val="15"/>
                <w:szCs w:val="15"/>
                <w:b w:val="1"/>
                <w:bCs w:val="1"/>
                <w:color w:val="FFFFFF"/>
              </w:rPr>
              <w:t>Yet Achieved</w:t>
            </w:r>
          </w:p>
        </w:tc>
        <w:tc>
          <w:tcPr>
            <w:tcW w:w="0" w:type="dxa"/>
            <w:vAlign w:val="bottom"/>
          </w:tcPr>
          <w:p>
            <w:pPr>
              <w:spacing w:after="0"/>
              <w:rPr>
                <w:sz w:val="1"/>
                <w:szCs w:val="1"/>
                <w:color w:val="auto"/>
              </w:rPr>
            </w:pPr>
          </w:p>
        </w:tc>
      </w:tr>
      <w:tr>
        <w:trPr>
          <w:trHeight w:val="187"/>
        </w:trPr>
        <w:tc>
          <w:tcPr>
            <w:tcW w:w="2340" w:type="dxa"/>
            <w:vAlign w:val="bottom"/>
            <w:tcBorders>
              <w:left w:val="single" w:sz="8" w:color="auto"/>
              <w:right w:val="single" w:sz="8" w:color="auto"/>
            </w:tcBorders>
            <w:shd w:val="clear" w:color="auto" w:fill="D7E8F5"/>
          </w:tcPr>
          <w:p>
            <w:pPr>
              <w:spacing w:after="0"/>
              <w:rPr>
                <w:sz w:val="16"/>
                <w:szCs w:val="16"/>
                <w:color w:val="auto"/>
              </w:rPr>
            </w:pPr>
          </w:p>
        </w:tc>
        <w:tc>
          <w:tcPr>
            <w:tcW w:w="80" w:type="dxa"/>
            <w:vAlign w:val="bottom"/>
            <w:shd w:val="clear" w:color="auto" w:fill="D7E8F5"/>
          </w:tcPr>
          <w:p>
            <w:pPr>
              <w:spacing w:after="0"/>
              <w:rPr>
                <w:sz w:val="16"/>
                <w:szCs w:val="16"/>
                <w:color w:val="auto"/>
              </w:rPr>
            </w:pPr>
          </w:p>
        </w:tc>
        <w:tc>
          <w:tcPr>
            <w:tcW w:w="220" w:type="dxa"/>
            <w:vAlign w:val="bottom"/>
            <w:shd w:val="clear" w:color="auto" w:fill="D7E8F5"/>
          </w:tcPr>
          <w:p>
            <w:pPr>
              <w:ind w:left="60"/>
              <w:spacing w:after="0"/>
              <w:rPr>
                <w:sz w:val="20"/>
                <w:szCs w:val="20"/>
                <w:color w:val="auto"/>
              </w:rPr>
            </w:pPr>
            <w:r>
              <w:rPr>
                <w:rFonts w:ascii="Arial" w:cs="Arial" w:eastAsia="Arial" w:hAnsi="Arial"/>
                <w:sz w:val="14"/>
                <w:szCs w:val="14"/>
                <w:color w:val="auto"/>
                <w:w w:val="73"/>
              </w:rPr>
              <w:t>• </w:t>
            </w:r>
          </w:p>
        </w:tc>
        <w:tc>
          <w:tcPr>
            <w:tcW w:w="4780" w:type="dxa"/>
            <w:vAlign w:val="bottom"/>
            <w:tcBorders>
              <w:right w:val="single" w:sz="8" w:color="auto"/>
            </w:tcBorders>
            <w:shd w:val="clear" w:color="auto" w:fill="D7E8F5"/>
          </w:tcPr>
          <w:p>
            <w:pPr>
              <w:ind w:left="40"/>
              <w:spacing w:after="0"/>
              <w:rPr>
                <w:sz w:val="20"/>
                <w:szCs w:val="20"/>
                <w:color w:val="auto"/>
              </w:rPr>
            </w:pPr>
            <w:r>
              <w:rPr>
                <w:rFonts w:ascii="Arial" w:cs="Arial" w:eastAsia="Arial" w:hAnsi="Arial"/>
                <w:sz w:val="14"/>
                <w:szCs w:val="14"/>
                <w:color w:val="auto"/>
              </w:rPr>
              <w:t> Filing of Fifth NDA or MAA for Regulatory Approval with the FDA or EMA</w:t>
            </w:r>
          </w:p>
        </w:tc>
        <w:tc>
          <w:tcPr>
            <w:tcW w:w="1860" w:type="dxa"/>
            <w:vAlign w:val="bottom"/>
            <w:tcBorders>
              <w:right w:val="single" w:sz="8" w:color="auto"/>
            </w:tcBorders>
            <w:shd w:val="clear" w:color="auto" w:fill="D7E8F5"/>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April 2021</w:t>
            </w:r>
          </w:p>
        </w:tc>
        <w:tc>
          <w:tcPr>
            <w:tcW w:w="0" w:type="dxa"/>
            <w:vAlign w:val="bottom"/>
          </w:tcPr>
          <w:p>
            <w:pPr>
              <w:spacing w:after="0"/>
              <w:rPr>
                <w:sz w:val="1"/>
                <w:szCs w:val="1"/>
                <w:color w:val="auto"/>
              </w:rPr>
            </w:pPr>
          </w:p>
        </w:tc>
      </w:tr>
      <w:tr>
        <w:trPr>
          <w:trHeight w:val="230"/>
        </w:trPr>
        <w:tc>
          <w:tcPr>
            <w:tcW w:w="2340" w:type="dxa"/>
            <w:vAlign w:val="bottom"/>
            <w:tcBorders>
              <w:left w:val="single" w:sz="8" w:color="auto"/>
              <w:bottom w:val="single" w:sz="8" w:color="D7E8F5"/>
              <w:right w:val="single" w:sz="8" w:color="auto"/>
            </w:tcBorders>
            <w:shd w:val="clear" w:color="auto" w:fill="D7E8F5"/>
          </w:tcPr>
          <w:p>
            <w:pPr>
              <w:spacing w:after="0"/>
              <w:rPr>
                <w:sz w:val="19"/>
                <w:szCs w:val="19"/>
                <w:color w:val="auto"/>
              </w:rPr>
            </w:pPr>
          </w:p>
        </w:tc>
        <w:tc>
          <w:tcPr>
            <w:tcW w:w="80" w:type="dxa"/>
            <w:vAlign w:val="bottom"/>
            <w:tcBorders>
              <w:bottom w:val="single" w:sz="8" w:color="D7E8F5"/>
            </w:tcBorders>
            <w:shd w:val="clear" w:color="auto" w:fill="D7E8F5"/>
          </w:tcPr>
          <w:p>
            <w:pPr>
              <w:spacing w:after="0"/>
              <w:rPr>
                <w:sz w:val="19"/>
                <w:szCs w:val="19"/>
                <w:color w:val="auto"/>
              </w:rPr>
            </w:pPr>
          </w:p>
        </w:tc>
        <w:tc>
          <w:tcPr>
            <w:tcW w:w="220" w:type="dxa"/>
            <w:vAlign w:val="bottom"/>
            <w:tcBorders>
              <w:bottom w:val="single" w:sz="8" w:color="D7E8F5"/>
            </w:tcBorders>
            <w:shd w:val="clear" w:color="auto" w:fill="D7E8F5"/>
          </w:tcPr>
          <w:p>
            <w:pPr>
              <w:spacing w:after="0"/>
              <w:rPr>
                <w:sz w:val="19"/>
                <w:szCs w:val="19"/>
                <w:color w:val="auto"/>
              </w:rPr>
            </w:pPr>
          </w:p>
        </w:tc>
        <w:tc>
          <w:tcPr>
            <w:tcW w:w="4780" w:type="dxa"/>
            <w:vAlign w:val="bottom"/>
            <w:tcBorders>
              <w:bottom w:val="single" w:sz="8" w:color="D7E8F5"/>
              <w:right w:val="single" w:sz="8" w:color="auto"/>
            </w:tcBorders>
            <w:shd w:val="clear" w:color="auto" w:fill="D7E8F5"/>
          </w:tcPr>
          <w:p>
            <w:pPr>
              <w:ind w:left="60"/>
              <w:spacing w:after="0"/>
              <w:rPr>
                <w:sz w:val="20"/>
                <w:szCs w:val="20"/>
                <w:color w:val="auto"/>
              </w:rPr>
            </w:pPr>
            <w:r>
              <w:rPr>
                <w:rFonts w:ascii="Arial" w:cs="Arial" w:eastAsia="Arial" w:hAnsi="Arial"/>
                <w:sz w:val="14"/>
                <w:szCs w:val="14"/>
                <w:color w:val="auto"/>
              </w:rPr>
              <w:t>(33%)</w:t>
            </w:r>
          </w:p>
        </w:tc>
        <w:tc>
          <w:tcPr>
            <w:tcW w:w="1860" w:type="dxa"/>
            <w:vAlign w:val="bottom"/>
            <w:tcBorders>
              <w:bottom w:val="single" w:sz="8" w:color="D7E8F5"/>
              <w:right w:val="single" w:sz="8" w:color="auto"/>
            </w:tcBorders>
            <w:shd w:val="clear" w:color="auto" w:fill="D7E8F5"/>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340" w:type="dxa"/>
            <w:vAlign w:val="bottom"/>
            <w:tcBorders>
              <w:top w:val="single" w:sz="8" w:color="D7E8F5"/>
              <w:left w:val="single" w:sz="8" w:color="auto"/>
              <w:right w:val="single" w:sz="8" w:color="auto"/>
            </w:tcBorders>
            <w:vMerge w:val="restart"/>
            <w:shd w:val="clear" w:color="auto" w:fill="D7E8F5"/>
          </w:tcPr>
          <w:p>
            <w:pPr>
              <w:ind w:left="640"/>
              <w:spacing w:after="0"/>
              <w:rPr>
                <w:sz w:val="20"/>
                <w:szCs w:val="20"/>
                <w:color w:val="auto"/>
              </w:rPr>
            </w:pPr>
            <w:r>
              <w:rPr>
                <w:rFonts w:ascii="Arial" w:cs="Arial" w:eastAsia="Arial" w:hAnsi="Arial"/>
                <w:sz w:val="14"/>
                <w:szCs w:val="14"/>
                <w:color w:val="auto"/>
              </w:rPr>
              <w:t>February 26, 2020</w:t>
            </w:r>
          </w:p>
        </w:tc>
        <w:tc>
          <w:tcPr>
            <w:tcW w:w="80" w:type="dxa"/>
            <w:vAlign w:val="bottom"/>
            <w:tcBorders>
              <w:top w:val="single" w:sz="8" w:color="auto"/>
            </w:tcBorders>
            <w:shd w:val="clear" w:color="auto" w:fill="D7E8F5"/>
          </w:tcPr>
          <w:p>
            <w:pPr>
              <w:spacing w:after="0"/>
              <w:rPr>
                <w:sz w:val="12"/>
                <w:szCs w:val="12"/>
                <w:color w:val="auto"/>
              </w:rPr>
            </w:pPr>
          </w:p>
        </w:tc>
        <w:tc>
          <w:tcPr>
            <w:tcW w:w="220" w:type="dxa"/>
            <w:vAlign w:val="bottom"/>
            <w:tcBorders>
              <w:top w:val="single" w:sz="8" w:color="auto"/>
            </w:tcBorders>
            <w:shd w:val="clear" w:color="auto" w:fill="D7E8F5"/>
          </w:tcPr>
          <w:p>
            <w:pPr>
              <w:ind w:left="60"/>
              <w:spacing w:after="0" w:line="147" w:lineRule="exact"/>
              <w:rPr>
                <w:sz w:val="20"/>
                <w:szCs w:val="20"/>
                <w:color w:val="auto"/>
              </w:rPr>
            </w:pPr>
            <w:r>
              <w:rPr>
                <w:rFonts w:ascii="Arial" w:cs="Arial" w:eastAsia="Arial" w:hAnsi="Arial"/>
                <w:sz w:val="14"/>
                <w:szCs w:val="14"/>
                <w:color w:val="auto"/>
                <w:w w:val="73"/>
              </w:rPr>
              <w:t>• </w:t>
            </w:r>
          </w:p>
        </w:tc>
        <w:tc>
          <w:tcPr>
            <w:tcW w:w="4780" w:type="dxa"/>
            <w:vAlign w:val="bottom"/>
            <w:tcBorders>
              <w:top w:val="single" w:sz="8" w:color="auto"/>
              <w:right w:val="single" w:sz="8" w:color="auto"/>
            </w:tcBorders>
            <w:shd w:val="clear" w:color="auto" w:fill="D7E8F5"/>
          </w:tcPr>
          <w:p>
            <w:pPr>
              <w:ind w:left="40"/>
              <w:spacing w:after="0" w:line="147" w:lineRule="exact"/>
              <w:rPr>
                <w:sz w:val="20"/>
                <w:szCs w:val="20"/>
                <w:color w:val="auto"/>
              </w:rPr>
            </w:pPr>
            <w:r>
              <w:rPr>
                <w:rFonts w:ascii="Arial" w:cs="Arial" w:eastAsia="Arial" w:hAnsi="Arial"/>
                <w:sz w:val="14"/>
                <w:szCs w:val="14"/>
                <w:color w:val="auto"/>
              </w:rPr>
              <w:t> Positive Data from Phase 3 Clinical Study in ATTR Amyloidosis Patients</w:t>
            </w:r>
          </w:p>
        </w:tc>
        <w:tc>
          <w:tcPr>
            <w:tcW w:w="1860" w:type="dxa"/>
            <w:vAlign w:val="bottom"/>
            <w:tcBorders>
              <w:top w:val="single" w:sz="8" w:color="auto"/>
              <w:right w:val="single" w:sz="8" w:color="auto"/>
            </w:tcBorders>
            <w:shd w:val="clear" w:color="auto" w:fill="D7E8F5"/>
          </w:tcPr>
          <w:p>
            <w:pPr>
              <w:ind w:left="1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August 2022</w:t>
            </w:r>
          </w:p>
        </w:tc>
        <w:tc>
          <w:tcPr>
            <w:tcW w:w="0" w:type="dxa"/>
            <w:vAlign w:val="bottom"/>
          </w:tcPr>
          <w:p>
            <w:pPr>
              <w:spacing w:after="0"/>
              <w:rPr>
                <w:sz w:val="1"/>
                <w:szCs w:val="1"/>
                <w:color w:val="auto"/>
              </w:rPr>
            </w:pPr>
          </w:p>
        </w:tc>
      </w:tr>
      <w:tr>
        <w:trPr>
          <w:trHeight w:val="109"/>
        </w:trPr>
        <w:tc>
          <w:tcPr>
            <w:tcW w:w="2340" w:type="dxa"/>
            <w:vAlign w:val="bottom"/>
            <w:tcBorders>
              <w:left w:val="single" w:sz="8" w:color="auto"/>
              <w:right w:val="single" w:sz="8" w:color="auto"/>
            </w:tcBorders>
            <w:vMerge w:val="continue"/>
            <w:shd w:val="clear" w:color="auto" w:fill="D7E8F5"/>
          </w:tcPr>
          <w:p>
            <w:pPr>
              <w:spacing w:after="0"/>
              <w:rPr>
                <w:sz w:val="9"/>
                <w:szCs w:val="9"/>
                <w:color w:val="auto"/>
              </w:rPr>
            </w:pPr>
          </w:p>
        </w:tc>
        <w:tc>
          <w:tcPr>
            <w:tcW w:w="80" w:type="dxa"/>
            <w:vAlign w:val="bottom"/>
            <w:shd w:val="clear" w:color="auto" w:fill="D7E8F5"/>
          </w:tcPr>
          <w:p>
            <w:pPr>
              <w:spacing w:after="0"/>
              <w:rPr>
                <w:sz w:val="9"/>
                <w:szCs w:val="9"/>
                <w:color w:val="auto"/>
              </w:rPr>
            </w:pPr>
          </w:p>
        </w:tc>
        <w:tc>
          <w:tcPr>
            <w:tcW w:w="220" w:type="dxa"/>
            <w:vAlign w:val="bottom"/>
            <w:shd w:val="clear" w:color="auto" w:fill="D7E8F5"/>
          </w:tcPr>
          <w:p>
            <w:pPr>
              <w:spacing w:after="0"/>
              <w:rPr>
                <w:sz w:val="9"/>
                <w:szCs w:val="9"/>
                <w:color w:val="auto"/>
              </w:rPr>
            </w:pPr>
          </w:p>
        </w:tc>
        <w:tc>
          <w:tcPr>
            <w:tcW w:w="4780" w:type="dxa"/>
            <w:vAlign w:val="bottom"/>
            <w:tcBorders>
              <w:right w:val="single" w:sz="8" w:color="auto"/>
            </w:tcBorders>
            <w:vMerge w:val="restart"/>
            <w:shd w:val="clear" w:color="auto" w:fill="D7E8F5"/>
          </w:tcPr>
          <w:p>
            <w:pPr>
              <w:ind w:left="60"/>
              <w:spacing w:after="0"/>
              <w:rPr>
                <w:sz w:val="20"/>
                <w:szCs w:val="20"/>
                <w:color w:val="auto"/>
              </w:rPr>
            </w:pPr>
            <w:r>
              <w:rPr>
                <w:rFonts w:ascii="Arial" w:cs="Arial" w:eastAsia="Arial" w:hAnsi="Arial"/>
                <w:sz w:val="14"/>
                <w:szCs w:val="14"/>
                <w:color w:val="auto"/>
              </w:rPr>
              <w:t>with Cardiomyopathy (33%)</w:t>
            </w:r>
          </w:p>
        </w:tc>
        <w:tc>
          <w:tcPr>
            <w:tcW w:w="1860" w:type="dxa"/>
            <w:vAlign w:val="bottom"/>
            <w:tcBorders>
              <w:right w:val="single" w:sz="8" w:color="auto"/>
            </w:tcBorders>
            <w:shd w:val="clear" w:color="auto" w:fill="D7E8F5"/>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340" w:type="dxa"/>
            <w:vAlign w:val="bottom"/>
            <w:tcBorders>
              <w:left w:val="single" w:sz="8" w:color="auto"/>
              <w:bottom w:val="single" w:sz="8" w:color="D7E8F5"/>
              <w:right w:val="single" w:sz="8" w:color="auto"/>
            </w:tcBorders>
            <w:shd w:val="clear" w:color="auto" w:fill="D7E8F5"/>
          </w:tcPr>
          <w:p>
            <w:pPr>
              <w:spacing w:after="0"/>
              <w:rPr>
                <w:sz w:val="10"/>
                <w:szCs w:val="10"/>
                <w:color w:val="auto"/>
              </w:rPr>
            </w:pPr>
          </w:p>
        </w:tc>
        <w:tc>
          <w:tcPr>
            <w:tcW w:w="80" w:type="dxa"/>
            <w:vAlign w:val="bottom"/>
            <w:tcBorders>
              <w:bottom w:val="single" w:sz="8" w:color="D7E8F5"/>
            </w:tcBorders>
            <w:shd w:val="clear" w:color="auto" w:fill="D7E8F5"/>
          </w:tcPr>
          <w:p>
            <w:pPr>
              <w:spacing w:after="0"/>
              <w:rPr>
                <w:sz w:val="10"/>
                <w:szCs w:val="10"/>
                <w:color w:val="auto"/>
              </w:rPr>
            </w:pPr>
          </w:p>
        </w:tc>
        <w:tc>
          <w:tcPr>
            <w:tcW w:w="220" w:type="dxa"/>
            <w:vAlign w:val="bottom"/>
            <w:tcBorders>
              <w:bottom w:val="single" w:sz="8" w:color="D7E8F5"/>
            </w:tcBorders>
            <w:shd w:val="clear" w:color="auto" w:fill="D7E8F5"/>
          </w:tcPr>
          <w:p>
            <w:pPr>
              <w:spacing w:after="0"/>
              <w:rPr>
                <w:sz w:val="10"/>
                <w:szCs w:val="10"/>
                <w:color w:val="auto"/>
              </w:rPr>
            </w:pPr>
          </w:p>
        </w:tc>
        <w:tc>
          <w:tcPr>
            <w:tcW w:w="4780" w:type="dxa"/>
            <w:vAlign w:val="bottom"/>
            <w:tcBorders>
              <w:bottom w:val="single" w:sz="8" w:color="D7E8F5"/>
              <w:right w:val="single" w:sz="8" w:color="auto"/>
            </w:tcBorders>
            <w:vMerge w:val="continue"/>
            <w:shd w:val="clear" w:color="auto" w:fill="D7E8F5"/>
          </w:tcPr>
          <w:p>
            <w:pPr>
              <w:spacing w:after="0"/>
              <w:rPr>
                <w:sz w:val="10"/>
                <w:szCs w:val="10"/>
                <w:color w:val="auto"/>
              </w:rPr>
            </w:pPr>
          </w:p>
        </w:tc>
        <w:tc>
          <w:tcPr>
            <w:tcW w:w="1860" w:type="dxa"/>
            <w:vAlign w:val="bottom"/>
            <w:tcBorders>
              <w:bottom w:val="single" w:sz="8" w:color="D7E8F5"/>
              <w:right w:val="single" w:sz="8" w:color="auto"/>
            </w:tcBorders>
            <w:shd w:val="clear" w:color="auto" w:fill="D7E8F5"/>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340" w:type="dxa"/>
            <w:vAlign w:val="bottom"/>
            <w:tcBorders>
              <w:top w:val="single" w:sz="8" w:color="D7E8F5"/>
              <w:left w:val="single" w:sz="8" w:color="auto"/>
              <w:right w:val="single" w:sz="8" w:color="auto"/>
            </w:tcBorders>
            <w:shd w:val="clear" w:color="auto" w:fill="D7E8F5"/>
          </w:tcPr>
          <w:p>
            <w:pPr>
              <w:spacing w:after="0"/>
              <w:rPr>
                <w:sz w:val="12"/>
                <w:szCs w:val="12"/>
                <w:color w:val="auto"/>
              </w:rPr>
            </w:pPr>
          </w:p>
        </w:tc>
        <w:tc>
          <w:tcPr>
            <w:tcW w:w="80" w:type="dxa"/>
            <w:vAlign w:val="bottom"/>
            <w:tcBorders>
              <w:top w:val="single" w:sz="8" w:color="auto"/>
            </w:tcBorders>
            <w:shd w:val="clear" w:color="auto" w:fill="D7E8F5"/>
          </w:tcPr>
          <w:p>
            <w:pPr>
              <w:spacing w:after="0"/>
              <w:rPr>
                <w:sz w:val="12"/>
                <w:szCs w:val="12"/>
                <w:color w:val="auto"/>
              </w:rPr>
            </w:pPr>
          </w:p>
        </w:tc>
        <w:tc>
          <w:tcPr>
            <w:tcW w:w="220" w:type="dxa"/>
            <w:vAlign w:val="bottom"/>
            <w:tcBorders>
              <w:top w:val="single" w:sz="8" w:color="auto"/>
            </w:tcBorders>
            <w:shd w:val="clear" w:color="auto" w:fill="D7E8F5"/>
          </w:tcPr>
          <w:p>
            <w:pPr>
              <w:ind w:left="60"/>
              <w:spacing w:after="0" w:line="147" w:lineRule="exact"/>
              <w:rPr>
                <w:sz w:val="20"/>
                <w:szCs w:val="20"/>
                <w:color w:val="auto"/>
              </w:rPr>
            </w:pPr>
            <w:r>
              <w:rPr>
                <w:rFonts w:ascii="Arial" w:cs="Arial" w:eastAsia="Arial" w:hAnsi="Arial"/>
                <w:sz w:val="14"/>
                <w:szCs w:val="14"/>
                <w:color w:val="auto"/>
                <w:w w:val="73"/>
              </w:rPr>
              <w:t>• </w:t>
            </w:r>
          </w:p>
        </w:tc>
        <w:tc>
          <w:tcPr>
            <w:tcW w:w="4780" w:type="dxa"/>
            <w:vAlign w:val="bottom"/>
            <w:tcBorders>
              <w:top w:val="single" w:sz="8" w:color="auto"/>
              <w:right w:val="single" w:sz="8" w:color="auto"/>
            </w:tcBorders>
            <w:shd w:val="clear" w:color="auto" w:fill="D7E8F5"/>
          </w:tcPr>
          <w:p>
            <w:pPr>
              <w:ind w:left="40"/>
              <w:spacing w:after="0" w:line="147" w:lineRule="exact"/>
              <w:rPr>
                <w:sz w:val="20"/>
                <w:szCs w:val="20"/>
                <w:color w:val="auto"/>
              </w:rPr>
            </w:pPr>
            <w:r>
              <w:rPr>
                <w:rFonts w:ascii="Arial" w:cs="Arial" w:eastAsia="Arial" w:hAnsi="Arial"/>
                <w:sz w:val="14"/>
                <w:szCs w:val="14"/>
                <w:color w:val="auto"/>
              </w:rPr>
              <w:t> Achievement, on or before December 31, 2024, of First $2.5 Billion in</w:t>
            </w:r>
          </w:p>
        </w:tc>
        <w:tc>
          <w:tcPr>
            <w:tcW w:w="1860" w:type="dxa"/>
            <w:vAlign w:val="bottom"/>
            <w:tcBorders>
              <w:top w:val="single" w:sz="8" w:color="auto"/>
              <w:right w:val="single" w:sz="8" w:color="auto"/>
            </w:tcBorders>
            <w:shd w:val="clear" w:color="auto" w:fill="D7E8F5"/>
          </w:tcPr>
          <w:p>
            <w:pPr>
              <w:ind w:left="1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August 2023</w:t>
            </w:r>
          </w:p>
        </w:tc>
        <w:tc>
          <w:tcPr>
            <w:tcW w:w="0" w:type="dxa"/>
            <w:vAlign w:val="bottom"/>
          </w:tcPr>
          <w:p>
            <w:pPr>
              <w:spacing w:after="0"/>
              <w:rPr>
                <w:sz w:val="1"/>
                <w:szCs w:val="1"/>
                <w:color w:val="auto"/>
              </w:rPr>
            </w:pPr>
          </w:p>
        </w:tc>
      </w:tr>
      <w:tr>
        <w:trPr>
          <w:trHeight w:val="230"/>
        </w:trPr>
        <w:tc>
          <w:tcPr>
            <w:tcW w:w="2340" w:type="dxa"/>
            <w:vAlign w:val="bottom"/>
            <w:tcBorders>
              <w:left w:val="single" w:sz="8" w:color="auto"/>
              <w:bottom w:val="single" w:sz="8" w:color="D7E8F5"/>
              <w:right w:val="single" w:sz="8" w:color="auto"/>
            </w:tcBorders>
            <w:shd w:val="clear" w:color="auto" w:fill="D7E8F5"/>
          </w:tcPr>
          <w:p>
            <w:pPr>
              <w:spacing w:after="0"/>
              <w:rPr>
                <w:sz w:val="19"/>
                <w:szCs w:val="19"/>
                <w:color w:val="auto"/>
              </w:rPr>
            </w:pPr>
          </w:p>
        </w:tc>
        <w:tc>
          <w:tcPr>
            <w:tcW w:w="80" w:type="dxa"/>
            <w:vAlign w:val="bottom"/>
            <w:tcBorders>
              <w:bottom w:val="single" w:sz="8" w:color="D7E8F5"/>
            </w:tcBorders>
            <w:shd w:val="clear" w:color="auto" w:fill="D7E8F5"/>
          </w:tcPr>
          <w:p>
            <w:pPr>
              <w:spacing w:after="0"/>
              <w:rPr>
                <w:sz w:val="19"/>
                <w:szCs w:val="19"/>
                <w:color w:val="auto"/>
              </w:rPr>
            </w:pPr>
          </w:p>
        </w:tc>
        <w:tc>
          <w:tcPr>
            <w:tcW w:w="220" w:type="dxa"/>
            <w:vAlign w:val="bottom"/>
            <w:tcBorders>
              <w:bottom w:val="single" w:sz="8" w:color="D7E8F5"/>
            </w:tcBorders>
            <w:shd w:val="clear" w:color="auto" w:fill="D7E8F5"/>
          </w:tcPr>
          <w:p>
            <w:pPr>
              <w:spacing w:after="0"/>
              <w:rPr>
                <w:sz w:val="19"/>
                <w:szCs w:val="19"/>
                <w:color w:val="auto"/>
              </w:rPr>
            </w:pPr>
          </w:p>
        </w:tc>
        <w:tc>
          <w:tcPr>
            <w:tcW w:w="4780" w:type="dxa"/>
            <w:vAlign w:val="bottom"/>
            <w:tcBorders>
              <w:bottom w:val="single" w:sz="8" w:color="D7E8F5"/>
              <w:right w:val="single" w:sz="8" w:color="auto"/>
            </w:tcBorders>
            <w:shd w:val="clear" w:color="auto" w:fill="D7E8F5"/>
          </w:tcPr>
          <w:p>
            <w:pPr>
              <w:ind w:left="60"/>
              <w:spacing w:after="0"/>
              <w:rPr>
                <w:sz w:val="20"/>
                <w:szCs w:val="20"/>
                <w:color w:val="auto"/>
              </w:rPr>
            </w:pPr>
            <w:r>
              <w:rPr>
                <w:rFonts w:ascii="Arial" w:cs="Arial" w:eastAsia="Arial" w:hAnsi="Arial"/>
                <w:sz w:val="14"/>
                <w:szCs w:val="14"/>
                <w:color w:val="auto"/>
              </w:rPr>
              <w:t>Cumulative Net Product Revenues (33%)</w:t>
            </w:r>
          </w:p>
        </w:tc>
        <w:tc>
          <w:tcPr>
            <w:tcW w:w="1860" w:type="dxa"/>
            <w:vAlign w:val="bottom"/>
            <w:tcBorders>
              <w:bottom w:val="single" w:sz="8" w:color="D7E8F5"/>
              <w:right w:val="single" w:sz="8" w:color="auto"/>
            </w:tcBorders>
            <w:shd w:val="clear" w:color="auto" w:fill="D7E8F5"/>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340" w:type="dxa"/>
            <w:vAlign w:val="bottom"/>
            <w:tcBorders>
              <w:top w:val="single" w:sz="8" w:color="auto"/>
              <w:left w:val="single" w:sz="8" w:color="auto"/>
              <w:right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73"/>
              </w:rPr>
              <w:t>• </w:t>
            </w:r>
          </w:p>
        </w:tc>
        <w:tc>
          <w:tcPr>
            <w:tcW w:w="47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Positive Data from Phase 3 Clinical Study in ATTR Amyloidosis Patients</w:t>
            </w:r>
          </w:p>
        </w:tc>
        <w:tc>
          <w:tcPr>
            <w:tcW w:w="1860" w:type="dxa"/>
            <w:vAlign w:val="bottom"/>
            <w:tcBorders>
              <w:top w:val="single" w:sz="8" w:color="auto"/>
              <w:right w:val="single" w:sz="8" w:color="auto"/>
            </w:tcBorders>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August 2022</w:t>
            </w:r>
          </w:p>
        </w:tc>
        <w:tc>
          <w:tcPr>
            <w:tcW w:w="0" w:type="dxa"/>
            <w:vAlign w:val="bottom"/>
          </w:tcPr>
          <w:p>
            <w:pPr>
              <w:spacing w:after="0"/>
              <w:rPr>
                <w:sz w:val="1"/>
                <w:szCs w:val="1"/>
                <w:color w:val="auto"/>
              </w:rPr>
            </w:pPr>
          </w:p>
        </w:tc>
      </w:tr>
      <w:tr>
        <w:trPr>
          <w:trHeight w:val="190"/>
        </w:trPr>
        <w:tc>
          <w:tcPr>
            <w:tcW w:w="234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with Cardiomyopathy (25%)</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340" w:type="dxa"/>
            <w:vAlign w:val="bottom"/>
            <w:tcBorders>
              <w:left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34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ind w:left="60"/>
              <w:spacing w:after="0" w:line="147" w:lineRule="exact"/>
              <w:rPr>
                <w:sz w:val="20"/>
                <w:szCs w:val="20"/>
                <w:color w:val="auto"/>
              </w:rPr>
            </w:pPr>
            <w:r>
              <w:rPr>
                <w:rFonts w:ascii="Arial" w:cs="Arial" w:eastAsia="Arial" w:hAnsi="Arial"/>
                <w:sz w:val="14"/>
                <w:szCs w:val="14"/>
                <w:color w:val="auto"/>
                <w:w w:val="73"/>
              </w:rPr>
              <w:t>• </w:t>
            </w:r>
          </w:p>
        </w:tc>
        <w:tc>
          <w:tcPr>
            <w:tcW w:w="478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4"/>
                <w:szCs w:val="14"/>
                <w:color w:val="auto"/>
              </w:rPr>
              <w:t> Achievement, on or before December 31, 2024, of First $2.5 Billion in</w:t>
            </w:r>
          </w:p>
        </w:tc>
        <w:tc>
          <w:tcPr>
            <w:tcW w:w="1860" w:type="dxa"/>
            <w:vAlign w:val="bottom"/>
            <w:tcBorders>
              <w:right w:val="single" w:sz="8" w:color="auto"/>
            </w:tcBorders>
          </w:tcPr>
          <w:p>
            <w:pPr>
              <w:ind w:left="1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August 2023</w:t>
            </w:r>
          </w:p>
        </w:tc>
        <w:tc>
          <w:tcPr>
            <w:tcW w:w="0" w:type="dxa"/>
            <w:vAlign w:val="bottom"/>
          </w:tcPr>
          <w:p>
            <w:pPr>
              <w:spacing w:after="0"/>
              <w:rPr>
                <w:sz w:val="1"/>
                <w:szCs w:val="1"/>
                <w:color w:val="auto"/>
              </w:rPr>
            </w:pPr>
          </w:p>
        </w:tc>
      </w:tr>
      <w:tr>
        <w:trPr>
          <w:trHeight w:val="190"/>
        </w:trPr>
        <w:tc>
          <w:tcPr>
            <w:tcW w:w="2340" w:type="dxa"/>
            <w:vAlign w:val="bottom"/>
            <w:tcBorders>
              <w:left w:val="single" w:sz="8" w:color="auto"/>
              <w:right w:val="single" w:sz="8" w:color="auto"/>
            </w:tcBorders>
            <w:vMerge w:val="restart"/>
          </w:tcPr>
          <w:p>
            <w:pPr>
              <w:ind w:left="640"/>
              <w:spacing w:after="0"/>
              <w:rPr>
                <w:sz w:val="20"/>
                <w:szCs w:val="20"/>
                <w:color w:val="auto"/>
              </w:rPr>
            </w:pPr>
            <w:r>
              <w:rPr>
                <w:rFonts w:ascii="Arial" w:cs="Arial" w:eastAsia="Arial" w:hAnsi="Arial"/>
                <w:sz w:val="14"/>
                <w:szCs w:val="14"/>
                <w:color w:val="auto"/>
              </w:rPr>
              <w:t>February 24, 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Cumulative Net Product Revenues (25%)</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340" w:type="dxa"/>
            <w:vAlign w:val="bottom"/>
            <w:tcBorders>
              <w:left w:val="single" w:sz="8" w:color="auto"/>
              <w:right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340" w:type="dxa"/>
            <w:vAlign w:val="bottom"/>
            <w:tcBorders>
              <w:left w:val="single" w:sz="8" w:color="auto"/>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restart"/>
          </w:tcPr>
          <w:p>
            <w:pPr>
              <w:ind w:left="60"/>
              <w:spacing w:after="0" w:line="147" w:lineRule="exact"/>
              <w:rPr>
                <w:sz w:val="20"/>
                <w:szCs w:val="20"/>
                <w:color w:val="auto"/>
              </w:rPr>
            </w:pPr>
            <w:r>
              <w:rPr>
                <w:rFonts w:ascii="Arial" w:cs="Arial" w:eastAsia="Arial" w:hAnsi="Arial"/>
                <w:sz w:val="14"/>
                <w:szCs w:val="14"/>
                <w:color w:val="auto"/>
                <w:w w:val="73"/>
              </w:rPr>
              <w:t>• </w:t>
            </w:r>
          </w:p>
        </w:tc>
        <w:tc>
          <w:tcPr>
            <w:tcW w:w="4780" w:type="dxa"/>
            <w:vAlign w:val="bottom"/>
            <w:tcBorders>
              <w:right w:val="single" w:sz="8" w:color="auto"/>
            </w:tcBorders>
            <w:vMerge w:val="restart"/>
          </w:tcPr>
          <w:p>
            <w:pPr>
              <w:ind w:left="40"/>
              <w:spacing w:after="0" w:line="147" w:lineRule="exact"/>
              <w:rPr>
                <w:sz w:val="20"/>
                <w:szCs w:val="20"/>
                <w:color w:val="auto"/>
              </w:rPr>
            </w:pPr>
            <w:r>
              <w:rPr>
                <w:rFonts w:ascii="Arial" w:cs="Arial" w:eastAsia="Arial" w:hAnsi="Arial"/>
                <w:sz w:val="14"/>
                <w:szCs w:val="14"/>
                <w:color w:val="auto"/>
              </w:rPr>
              <w:t> Achievement, on or before December 31, 2025, of Non-GAAP Operating</w:t>
            </w:r>
          </w:p>
        </w:tc>
        <w:tc>
          <w:tcPr>
            <w:tcW w:w="1860" w:type="dxa"/>
            <w:vAlign w:val="bottom"/>
            <w:tcBorders>
              <w:right w:val="single" w:sz="8" w:color="auto"/>
            </w:tcBorders>
            <w:vMerge w:val="restart"/>
          </w:tcPr>
          <w:p>
            <w:pPr>
              <w:ind w:left="160"/>
              <w:spacing w:after="0" w:line="147" w:lineRule="exact"/>
              <w:rPr>
                <w:sz w:val="20"/>
                <w:szCs w:val="20"/>
                <w:color w:val="auto"/>
              </w:rPr>
            </w:pPr>
            <w:r>
              <w:rPr>
                <w:rFonts w:ascii="Arial" w:cs="Arial" w:eastAsia="Arial" w:hAnsi="Arial"/>
                <w:sz w:val="14"/>
                <w:szCs w:val="14"/>
                <w:color w:val="auto"/>
              </w:rPr>
              <w:t>Not Yet Achieved</w:t>
            </w:r>
          </w:p>
        </w:tc>
        <w:tc>
          <w:tcPr>
            <w:tcW w:w="0" w:type="dxa"/>
            <w:vAlign w:val="bottom"/>
          </w:tcPr>
          <w:p>
            <w:pPr>
              <w:spacing w:after="0"/>
              <w:rPr>
                <w:sz w:val="1"/>
                <w:szCs w:val="1"/>
                <w:color w:val="auto"/>
              </w:rPr>
            </w:pPr>
          </w:p>
        </w:tc>
      </w:tr>
      <w:tr>
        <w:trPr>
          <w:trHeight w:val="93"/>
        </w:trPr>
        <w:tc>
          <w:tcPr>
            <w:tcW w:w="2340" w:type="dxa"/>
            <w:vAlign w:val="bottom"/>
            <w:tcBorders>
              <w:left w:val="single" w:sz="8" w:color="auto"/>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478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34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Income Profitability for a 12-month Calendar Year (25%)</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340" w:type="dxa"/>
            <w:vAlign w:val="bottom"/>
            <w:tcBorders>
              <w:left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34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ind w:left="60"/>
              <w:spacing w:after="0" w:line="147" w:lineRule="exact"/>
              <w:rPr>
                <w:sz w:val="20"/>
                <w:szCs w:val="20"/>
                <w:color w:val="auto"/>
              </w:rPr>
            </w:pPr>
            <w:r>
              <w:rPr>
                <w:rFonts w:ascii="Arial" w:cs="Arial" w:eastAsia="Arial" w:hAnsi="Arial"/>
                <w:sz w:val="14"/>
                <w:szCs w:val="14"/>
                <w:color w:val="auto"/>
                <w:w w:val="73"/>
              </w:rPr>
              <w:t>• </w:t>
            </w:r>
          </w:p>
        </w:tc>
        <w:tc>
          <w:tcPr>
            <w:tcW w:w="4780" w:type="dxa"/>
            <w:vAlign w:val="bottom"/>
            <w:tcBorders>
              <w:right w:val="single" w:sz="8" w:color="auto"/>
            </w:tcBorders>
          </w:tcPr>
          <w:p>
            <w:pPr>
              <w:ind w:left="40"/>
              <w:spacing w:after="0" w:line="147" w:lineRule="exact"/>
              <w:rPr>
                <w:sz w:val="20"/>
                <w:szCs w:val="20"/>
                <w:color w:val="auto"/>
              </w:rPr>
            </w:pPr>
            <w:r>
              <w:rPr>
                <w:rFonts w:ascii="Arial" w:cs="Arial" w:eastAsia="Arial" w:hAnsi="Arial"/>
                <w:sz w:val="14"/>
                <w:szCs w:val="14"/>
                <w:color w:val="auto"/>
              </w:rPr>
              <w:t> Initiation of first Phase 3 Clinical Study for an Alnylam Proprietary RNAi</w:t>
            </w:r>
          </w:p>
        </w:tc>
        <w:tc>
          <w:tcPr>
            <w:tcW w:w="1860" w:type="dxa"/>
            <w:vAlign w:val="bottom"/>
            <w:tcBorders>
              <w:right w:val="single" w:sz="8" w:color="auto"/>
            </w:tcBorders>
          </w:tcPr>
          <w:p>
            <w:pPr>
              <w:ind w:left="160"/>
              <w:spacing w:after="0" w:line="147" w:lineRule="exact"/>
              <w:rPr>
                <w:sz w:val="20"/>
                <w:szCs w:val="20"/>
                <w:color w:val="auto"/>
              </w:rPr>
            </w:pPr>
            <w:r>
              <w:rPr>
                <w:rFonts w:ascii="Arial" w:cs="Arial" w:eastAsia="Arial" w:hAnsi="Arial"/>
                <w:sz w:val="14"/>
                <w:szCs w:val="14"/>
                <w:color w:val="auto"/>
              </w:rPr>
              <w:t>Not Yet Achieved</w:t>
            </w:r>
          </w:p>
        </w:tc>
        <w:tc>
          <w:tcPr>
            <w:tcW w:w="0" w:type="dxa"/>
            <w:vAlign w:val="bottom"/>
          </w:tcPr>
          <w:p>
            <w:pPr>
              <w:spacing w:after="0"/>
              <w:rPr>
                <w:sz w:val="1"/>
                <w:szCs w:val="1"/>
                <w:color w:val="auto"/>
              </w:rPr>
            </w:pPr>
          </w:p>
        </w:tc>
      </w:tr>
      <w:tr>
        <w:trPr>
          <w:trHeight w:val="190"/>
        </w:trPr>
        <w:tc>
          <w:tcPr>
            <w:tcW w:w="234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Therapeutic in Development to Treat a Prevalent Disease (25%)</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34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40" w:type="dxa"/>
            <w:vAlign w:val="bottom"/>
            <w:tcBorders>
              <w:left w:val="single" w:sz="8" w:color="auto"/>
              <w:right w:val="single" w:sz="8" w:color="auto"/>
            </w:tcBorders>
            <w:shd w:val="clear" w:color="auto" w:fill="D7E8F5"/>
          </w:tcPr>
          <w:p>
            <w:pPr>
              <w:spacing w:after="0"/>
              <w:rPr>
                <w:sz w:val="16"/>
                <w:szCs w:val="16"/>
                <w:color w:val="auto"/>
              </w:rPr>
            </w:pPr>
          </w:p>
        </w:tc>
        <w:tc>
          <w:tcPr>
            <w:tcW w:w="80" w:type="dxa"/>
            <w:vAlign w:val="bottom"/>
            <w:shd w:val="clear" w:color="auto" w:fill="D7E8F5"/>
          </w:tcPr>
          <w:p>
            <w:pPr>
              <w:spacing w:after="0"/>
              <w:rPr>
                <w:sz w:val="16"/>
                <w:szCs w:val="16"/>
                <w:color w:val="auto"/>
              </w:rPr>
            </w:pPr>
          </w:p>
        </w:tc>
        <w:tc>
          <w:tcPr>
            <w:tcW w:w="220" w:type="dxa"/>
            <w:vAlign w:val="bottom"/>
            <w:shd w:val="clear" w:color="auto" w:fill="D7E8F5"/>
          </w:tcPr>
          <w:p>
            <w:pPr>
              <w:ind w:left="60"/>
              <w:spacing w:after="0"/>
              <w:rPr>
                <w:sz w:val="20"/>
                <w:szCs w:val="20"/>
                <w:color w:val="auto"/>
              </w:rPr>
            </w:pPr>
            <w:r>
              <w:rPr>
                <w:rFonts w:ascii="Arial" w:cs="Arial" w:eastAsia="Arial" w:hAnsi="Arial"/>
                <w:sz w:val="14"/>
                <w:szCs w:val="14"/>
                <w:color w:val="auto"/>
                <w:w w:val="73"/>
              </w:rPr>
              <w:t>• </w:t>
            </w:r>
          </w:p>
        </w:tc>
        <w:tc>
          <w:tcPr>
            <w:tcW w:w="4780" w:type="dxa"/>
            <w:vAlign w:val="bottom"/>
            <w:tcBorders>
              <w:right w:val="single" w:sz="8" w:color="auto"/>
            </w:tcBorders>
            <w:shd w:val="clear" w:color="auto" w:fill="D7E8F5"/>
          </w:tcPr>
          <w:p>
            <w:pPr>
              <w:ind w:left="40"/>
              <w:spacing w:after="0"/>
              <w:rPr>
                <w:sz w:val="20"/>
                <w:szCs w:val="20"/>
                <w:color w:val="auto"/>
              </w:rPr>
            </w:pPr>
            <w:r>
              <w:rPr>
                <w:rFonts w:ascii="Arial" w:cs="Arial" w:eastAsia="Arial" w:hAnsi="Arial"/>
                <w:sz w:val="14"/>
                <w:szCs w:val="14"/>
                <w:color w:val="auto"/>
              </w:rPr>
              <w:t> Positive, Statistically Significant Result on Clinical Outcomes Endpoint</w:t>
            </w:r>
          </w:p>
        </w:tc>
        <w:tc>
          <w:tcPr>
            <w:tcW w:w="1860" w:type="dxa"/>
            <w:vAlign w:val="bottom"/>
            <w:tcBorders>
              <w:right w:val="single" w:sz="8" w:color="auto"/>
            </w:tcBorders>
            <w:shd w:val="clear" w:color="auto" w:fill="D7E8F5"/>
          </w:tcPr>
          <w:p>
            <w:pPr>
              <w:ind w:left="160"/>
              <w:spacing w:after="0"/>
              <w:rPr>
                <w:sz w:val="20"/>
                <w:szCs w:val="20"/>
                <w:color w:val="auto"/>
              </w:rPr>
            </w:pPr>
            <w:r>
              <w:rPr>
                <w:rFonts w:ascii="Arial" w:cs="Arial" w:eastAsia="Arial" w:hAnsi="Arial"/>
                <w:sz w:val="14"/>
                <w:szCs w:val="14"/>
                <w:color w:val="auto"/>
              </w:rPr>
              <w:t>Not Yet Achieved</w:t>
            </w:r>
          </w:p>
        </w:tc>
        <w:tc>
          <w:tcPr>
            <w:tcW w:w="0" w:type="dxa"/>
            <w:vAlign w:val="bottom"/>
          </w:tcPr>
          <w:p>
            <w:pPr>
              <w:spacing w:after="0"/>
              <w:rPr>
                <w:sz w:val="1"/>
                <w:szCs w:val="1"/>
                <w:color w:val="auto"/>
              </w:rPr>
            </w:pPr>
          </w:p>
        </w:tc>
      </w:tr>
      <w:tr>
        <w:trPr>
          <w:trHeight w:val="162"/>
        </w:trPr>
        <w:tc>
          <w:tcPr>
            <w:tcW w:w="2340" w:type="dxa"/>
            <w:vAlign w:val="bottom"/>
            <w:tcBorders>
              <w:left w:val="single" w:sz="8" w:color="auto"/>
              <w:right w:val="single" w:sz="8" w:color="auto"/>
            </w:tcBorders>
            <w:shd w:val="clear" w:color="auto" w:fill="D7E8F5"/>
          </w:tcPr>
          <w:p>
            <w:pPr>
              <w:spacing w:after="0"/>
              <w:rPr>
                <w:sz w:val="14"/>
                <w:szCs w:val="14"/>
                <w:color w:val="auto"/>
              </w:rPr>
            </w:pPr>
          </w:p>
        </w:tc>
        <w:tc>
          <w:tcPr>
            <w:tcW w:w="80" w:type="dxa"/>
            <w:vAlign w:val="bottom"/>
            <w:shd w:val="clear" w:color="auto" w:fill="D7E8F5"/>
          </w:tcPr>
          <w:p>
            <w:pPr>
              <w:spacing w:after="0"/>
              <w:rPr>
                <w:sz w:val="14"/>
                <w:szCs w:val="14"/>
                <w:color w:val="auto"/>
              </w:rPr>
            </w:pPr>
          </w:p>
        </w:tc>
        <w:tc>
          <w:tcPr>
            <w:tcW w:w="220" w:type="dxa"/>
            <w:vAlign w:val="bottom"/>
            <w:shd w:val="clear" w:color="auto" w:fill="D7E8F5"/>
          </w:tcPr>
          <w:p>
            <w:pPr>
              <w:spacing w:after="0"/>
              <w:rPr>
                <w:sz w:val="14"/>
                <w:szCs w:val="14"/>
                <w:color w:val="auto"/>
              </w:rPr>
            </w:pPr>
          </w:p>
        </w:tc>
        <w:tc>
          <w:tcPr>
            <w:tcW w:w="4780" w:type="dxa"/>
            <w:vAlign w:val="bottom"/>
            <w:tcBorders>
              <w:right w:val="single" w:sz="8" w:color="auto"/>
            </w:tcBorders>
            <w:shd w:val="clear" w:color="auto" w:fill="D7E8F5"/>
          </w:tcPr>
          <w:p>
            <w:pPr>
              <w:ind w:left="60"/>
              <w:spacing w:after="0"/>
              <w:rPr>
                <w:sz w:val="20"/>
                <w:szCs w:val="20"/>
                <w:color w:val="auto"/>
              </w:rPr>
            </w:pPr>
            <w:r>
              <w:rPr>
                <w:rFonts w:ascii="Arial" w:cs="Arial" w:eastAsia="Arial" w:hAnsi="Arial"/>
                <w:sz w:val="14"/>
                <w:szCs w:val="14"/>
                <w:color w:val="auto"/>
              </w:rPr>
              <w:t>from a Phase 3 Clinical Study in ATTR Amyloidosis Patients with</w:t>
            </w:r>
          </w:p>
        </w:tc>
        <w:tc>
          <w:tcPr>
            <w:tcW w:w="1860" w:type="dxa"/>
            <w:vAlign w:val="bottom"/>
            <w:tcBorders>
              <w:right w:val="single" w:sz="8" w:color="auto"/>
            </w:tcBorders>
            <w:shd w:val="clear" w:color="auto" w:fill="D7E8F5"/>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40" w:type="dxa"/>
            <w:vAlign w:val="bottom"/>
            <w:tcBorders>
              <w:left w:val="single" w:sz="8" w:color="auto"/>
              <w:bottom w:val="single" w:sz="8" w:color="D7E8F5"/>
              <w:right w:val="single" w:sz="8" w:color="auto"/>
            </w:tcBorders>
            <w:vMerge w:val="restart"/>
            <w:shd w:val="clear" w:color="auto" w:fill="D7E8F5"/>
          </w:tcPr>
          <w:p>
            <w:pPr>
              <w:ind w:left="640"/>
              <w:spacing w:after="0"/>
              <w:rPr>
                <w:sz w:val="20"/>
                <w:szCs w:val="20"/>
                <w:color w:val="auto"/>
              </w:rPr>
            </w:pPr>
            <w:r>
              <w:rPr>
                <w:rFonts w:ascii="Arial" w:cs="Arial" w:eastAsia="Arial" w:hAnsi="Arial"/>
                <w:sz w:val="14"/>
                <w:szCs w:val="14"/>
                <w:color w:val="auto"/>
              </w:rPr>
              <w:t>February 23, 2022</w:t>
            </w:r>
          </w:p>
        </w:tc>
        <w:tc>
          <w:tcPr>
            <w:tcW w:w="80" w:type="dxa"/>
            <w:vAlign w:val="bottom"/>
            <w:tcBorders>
              <w:bottom w:val="single" w:sz="8" w:color="D7E8F5"/>
            </w:tcBorders>
            <w:shd w:val="clear" w:color="auto" w:fill="D7E8F5"/>
          </w:tcPr>
          <w:p>
            <w:pPr>
              <w:spacing w:after="0"/>
              <w:rPr>
                <w:sz w:val="19"/>
                <w:szCs w:val="19"/>
                <w:color w:val="auto"/>
              </w:rPr>
            </w:pPr>
          </w:p>
        </w:tc>
        <w:tc>
          <w:tcPr>
            <w:tcW w:w="220" w:type="dxa"/>
            <w:vAlign w:val="bottom"/>
            <w:tcBorders>
              <w:bottom w:val="single" w:sz="8" w:color="D7E8F5"/>
            </w:tcBorders>
            <w:shd w:val="clear" w:color="auto" w:fill="D7E8F5"/>
          </w:tcPr>
          <w:p>
            <w:pPr>
              <w:spacing w:after="0"/>
              <w:rPr>
                <w:sz w:val="19"/>
                <w:szCs w:val="19"/>
                <w:color w:val="auto"/>
              </w:rPr>
            </w:pPr>
          </w:p>
        </w:tc>
        <w:tc>
          <w:tcPr>
            <w:tcW w:w="4780" w:type="dxa"/>
            <w:vAlign w:val="bottom"/>
            <w:tcBorders>
              <w:bottom w:val="single" w:sz="8" w:color="D7E8F5"/>
              <w:right w:val="single" w:sz="8" w:color="auto"/>
            </w:tcBorders>
            <w:shd w:val="clear" w:color="auto" w:fill="D7E8F5"/>
          </w:tcPr>
          <w:p>
            <w:pPr>
              <w:ind w:left="60"/>
              <w:spacing w:after="0"/>
              <w:rPr>
                <w:sz w:val="20"/>
                <w:szCs w:val="20"/>
                <w:color w:val="auto"/>
              </w:rPr>
            </w:pPr>
            <w:r>
              <w:rPr>
                <w:rFonts w:ascii="Arial" w:cs="Arial" w:eastAsia="Arial" w:hAnsi="Arial"/>
                <w:sz w:val="14"/>
                <w:szCs w:val="14"/>
                <w:color w:val="auto"/>
              </w:rPr>
              <w:t>Cardiomyopathy (33%)</w:t>
            </w:r>
          </w:p>
        </w:tc>
        <w:tc>
          <w:tcPr>
            <w:tcW w:w="1860" w:type="dxa"/>
            <w:vAlign w:val="bottom"/>
            <w:tcBorders>
              <w:bottom w:val="single" w:sz="8" w:color="D7E8F5"/>
              <w:right w:val="single" w:sz="8" w:color="auto"/>
            </w:tcBorders>
            <w:shd w:val="clear" w:color="auto" w:fill="D7E8F5"/>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340" w:type="dxa"/>
            <w:vAlign w:val="bottom"/>
            <w:tcBorders>
              <w:top w:val="single" w:sz="8" w:color="D7E8F5"/>
              <w:left w:val="single" w:sz="8" w:color="auto"/>
              <w:right w:val="single" w:sz="8" w:color="auto"/>
            </w:tcBorders>
            <w:vMerge w:val="continue"/>
            <w:shd w:val="clear" w:color="auto" w:fill="D7E8F5"/>
          </w:tcPr>
          <w:p>
            <w:pPr>
              <w:spacing w:after="0"/>
              <w:rPr>
                <w:sz w:val="8"/>
                <w:szCs w:val="8"/>
                <w:color w:val="auto"/>
              </w:rPr>
            </w:pPr>
          </w:p>
        </w:tc>
        <w:tc>
          <w:tcPr>
            <w:tcW w:w="80" w:type="dxa"/>
            <w:vAlign w:val="bottom"/>
            <w:tcBorders>
              <w:top w:val="single" w:sz="8" w:color="auto"/>
            </w:tcBorders>
            <w:shd w:val="clear" w:color="auto" w:fill="D7E8F5"/>
          </w:tcPr>
          <w:p>
            <w:pPr>
              <w:spacing w:after="0"/>
              <w:rPr>
                <w:sz w:val="8"/>
                <w:szCs w:val="8"/>
                <w:color w:val="auto"/>
              </w:rPr>
            </w:pPr>
          </w:p>
        </w:tc>
        <w:tc>
          <w:tcPr>
            <w:tcW w:w="220" w:type="dxa"/>
            <w:vAlign w:val="bottom"/>
            <w:tcBorders>
              <w:top w:val="single" w:sz="8" w:color="auto"/>
            </w:tcBorders>
            <w:vMerge w:val="restart"/>
            <w:shd w:val="clear" w:color="auto" w:fill="D7E8F5"/>
          </w:tcPr>
          <w:p>
            <w:pPr>
              <w:ind w:left="60"/>
              <w:spacing w:after="0"/>
              <w:rPr>
                <w:sz w:val="20"/>
                <w:szCs w:val="20"/>
                <w:color w:val="auto"/>
              </w:rPr>
            </w:pPr>
            <w:r>
              <w:rPr>
                <w:rFonts w:ascii="Arial" w:cs="Arial" w:eastAsia="Arial" w:hAnsi="Arial"/>
                <w:sz w:val="14"/>
                <w:szCs w:val="14"/>
                <w:color w:val="auto"/>
                <w:w w:val="73"/>
              </w:rPr>
              <w:t>• </w:t>
            </w:r>
          </w:p>
        </w:tc>
        <w:tc>
          <w:tcPr>
            <w:tcW w:w="4780" w:type="dxa"/>
            <w:vAlign w:val="bottom"/>
            <w:tcBorders>
              <w:top w:val="single" w:sz="8" w:color="auto"/>
              <w:right w:val="single" w:sz="8" w:color="auto"/>
            </w:tcBorders>
            <w:vMerge w:val="restart"/>
            <w:shd w:val="clear" w:color="auto" w:fill="D7E8F5"/>
          </w:tcPr>
          <w:p>
            <w:pPr>
              <w:ind w:left="40"/>
              <w:spacing w:after="0"/>
              <w:rPr>
                <w:sz w:val="20"/>
                <w:szCs w:val="20"/>
                <w:color w:val="auto"/>
              </w:rPr>
            </w:pPr>
            <w:r>
              <w:rPr>
                <w:rFonts w:ascii="Arial" w:cs="Arial" w:eastAsia="Arial" w:hAnsi="Arial"/>
                <w:sz w:val="14"/>
                <w:szCs w:val="14"/>
                <w:color w:val="auto"/>
              </w:rPr>
              <w:t> Achievement of First $1.5 billion in Annual Total Revenues (33%)</w:t>
            </w:r>
          </w:p>
        </w:tc>
        <w:tc>
          <w:tcPr>
            <w:tcW w:w="1860" w:type="dxa"/>
            <w:vAlign w:val="bottom"/>
            <w:tcBorders>
              <w:top w:val="single" w:sz="8" w:color="auto"/>
              <w:right w:val="single" w:sz="8" w:color="auto"/>
            </w:tcBorders>
            <w:vMerge w:val="restart"/>
            <w:shd w:val="clear" w:color="auto" w:fill="D7E8F5"/>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February 2024</w:t>
            </w:r>
          </w:p>
        </w:tc>
        <w:tc>
          <w:tcPr>
            <w:tcW w:w="0" w:type="dxa"/>
            <w:vAlign w:val="bottom"/>
          </w:tcPr>
          <w:p>
            <w:pPr>
              <w:spacing w:after="0"/>
              <w:rPr>
                <w:sz w:val="1"/>
                <w:szCs w:val="1"/>
                <w:color w:val="auto"/>
              </w:rPr>
            </w:pPr>
          </w:p>
        </w:tc>
      </w:tr>
      <w:tr>
        <w:trPr>
          <w:trHeight w:val="130"/>
        </w:trPr>
        <w:tc>
          <w:tcPr>
            <w:tcW w:w="2340" w:type="dxa"/>
            <w:vAlign w:val="bottom"/>
            <w:tcBorders>
              <w:left w:val="single" w:sz="8" w:color="auto"/>
              <w:bottom w:val="single" w:sz="8" w:color="D7E8F5"/>
              <w:right w:val="single" w:sz="8" w:color="auto"/>
            </w:tcBorders>
            <w:shd w:val="clear" w:color="auto" w:fill="D7E8F5"/>
          </w:tcPr>
          <w:p>
            <w:pPr>
              <w:spacing w:after="0"/>
              <w:rPr>
                <w:sz w:val="11"/>
                <w:szCs w:val="11"/>
                <w:color w:val="auto"/>
              </w:rPr>
            </w:pPr>
          </w:p>
        </w:tc>
        <w:tc>
          <w:tcPr>
            <w:tcW w:w="80" w:type="dxa"/>
            <w:vAlign w:val="bottom"/>
            <w:tcBorders>
              <w:bottom w:val="single" w:sz="8" w:color="auto"/>
            </w:tcBorders>
            <w:shd w:val="clear" w:color="auto" w:fill="D7E8F5"/>
          </w:tcPr>
          <w:p>
            <w:pPr>
              <w:spacing w:after="0"/>
              <w:rPr>
                <w:sz w:val="11"/>
                <w:szCs w:val="11"/>
                <w:color w:val="auto"/>
              </w:rPr>
            </w:pPr>
          </w:p>
        </w:tc>
        <w:tc>
          <w:tcPr>
            <w:tcW w:w="220" w:type="dxa"/>
            <w:vAlign w:val="bottom"/>
            <w:tcBorders>
              <w:bottom w:val="single" w:sz="8" w:color="auto"/>
            </w:tcBorders>
            <w:vMerge w:val="continue"/>
            <w:shd w:val="clear" w:color="auto" w:fill="D7E8F5"/>
          </w:tcPr>
          <w:p>
            <w:pPr>
              <w:spacing w:after="0"/>
              <w:rPr>
                <w:sz w:val="11"/>
                <w:szCs w:val="11"/>
                <w:color w:val="auto"/>
              </w:rPr>
            </w:pPr>
          </w:p>
        </w:tc>
        <w:tc>
          <w:tcPr>
            <w:tcW w:w="4780" w:type="dxa"/>
            <w:vAlign w:val="bottom"/>
            <w:tcBorders>
              <w:bottom w:val="single" w:sz="8" w:color="auto"/>
              <w:right w:val="single" w:sz="8" w:color="auto"/>
            </w:tcBorders>
            <w:vMerge w:val="continue"/>
            <w:shd w:val="clear" w:color="auto" w:fill="D7E8F5"/>
          </w:tcPr>
          <w:p>
            <w:pPr>
              <w:spacing w:after="0"/>
              <w:rPr>
                <w:sz w:val="11"/>
                <w:szCs w:val="11"/>
                <w:color w:val="auto"/>
              </w:rPr>
            </w:pPr>
          </w:p>
        </w:tc>
        <w:tc>
          <w:tcPr>
            <w:tcW w:w="1860" w:type="dxa"/>
            <w:vAlign w:val="bottom"/>
            <w:tcBorders>
              <w:bottom w:val="single" w:sz="8" w:color="auto"/>
              <w:right w:val="single" w:sz="8" w:color="auto"/>
            </w:tcBorders>
            <w:vMerge w:val="continue"/>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40" w:type="dxa"/>
            <w:vAlign w:val="bottom"/>
            <w:tcBorders>
              <w:left w:val="single" w:sz="8" w:color="auto"/>
              <w:right w:val="single" w:sz="8" w:color="auto"/>
            </w:tcBorders>
            <w:shd w:val="clear" w:color="auto" w:fill="D7E8F5"/>
          </w:tcPr>
          <w:p>
            <w:pPr>
              <w:spacing w:after="0"/>
              <w:rPr>
                <w:sz w:val="12"/>
                <w:szCs w:val="12"/>
                <w:color w:val="auto"/>
              </w:rPr>
            </w:pPr>
          </w:p>
        </w:tc>
        <w:tc>
          <w:tcPr>
            <w:tcW w:w="80" w:type="dxa"/>
            <w:vAlign w:val="bottom"/>
            <w:shd w:val="clear" w:color="auto" w:fill="D7E8F5"/>
          </w:tcPr>
          <w:p>
            <w:pPr>
              <w:spacing w:after="0"/>
              <w:rPr>
                <w:sz w:val="12"/>
                <w:szCs w:val="12"/>
                <w:color w:val="auto"/>
              </w:rPr>
            </w:pPr>
          </w:p>
        </w:tc>
        <w:tc>
          <w:tcPr>
            <w:tcW w:w="220" w:type="dxa"/>
            <w:vAlign w:val="bottom"/>
            <w:shd w:val="clear" w:color="auto" w:fill="D7E8F5"/>
          </w:tcPr>
          <w:p>
            <w:pPr>
              <w:ind w:left="60"/>
              <w:spacing w:after="0" w:line="147" w:lineRule="exact"/>
              <w:rPr>
                <w:sz w:val="20"/>
                <w:szCs w:val="20"/>
                <w:color w:val="auto"/>
              </w:rPr>
            </w:pPr>
            <w:r>
              <w:rPr>
                <w:rFonts w:ascii="Arial" w:cs="Arial" w:eastAsia="Arial" w:hAnsi="Arial"/>
                <w:sz w:val="14"/>
                <w:szCs w:val="14"/>
                <w:color w:val="auto"/>
                <w:w w:val="73"/>
              </w:rPr>
              <w:t>• </w:t>
            </w:r>
          </w:p>
        </w:tc>
        <w:tc>
          <w:tcPr>
            <w:tcW w:w="4780" w:type="dxa"/>
            <w:vAlign w:val="bottom"/>
            <w:tcBorders>
              <w:right w:val="single" w:sz="8" w:color="auto"/>
            </w:tcBorders>
            <w:shd w:val="clear" w:color="auto" w:fill="D7E8F5"/>
          </w:tcPr>
          <w:p>
            <w:pPr>
              <w:ind w:left="40"/>
              <w:spacing w:after="0" w:line="147" w:lineRule="exact"/>
              <w:rPr>
                <w:sz w:val="20"/>
                <w:szCs w:val="20"/>
                <w:color w:val="auto"/>
              </w:rPr>
            </w:pPr>
            <w:r>
              <w:rPr>
                <w:rFonts w:ascii="Arial" w:cs="Arial" w:eastAsia="Arial" w:hAnsi="Arial"/>
                <w:sz w:val="14"/>
                <w:szCs w:val="14"/>
                <w:color w:val="auto"/>
              </w:rPr>
              <w:t> Achievement of Human Proof of Concept for Investigational RNAi</w:t>
            </w:r>
          </w:p>
        </w:tc>
        <w:tc>
          <w:tcPr>
            <w:tcW w:w="1860" w:type="dxa"/>
            <w:vAlign w:val="bottom"/>
            <w:tcBorders>
              <w:right w:val="single" w:sz="8" w:color="auto"/>
            </w:tcBorders>
            <w:shd w:val="clear" w:color="auto" w:fill="D7E8F5"/>
          </w:tcPr>
          <w:p>
            <w:pPr>
              <w:ind w:left="1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April 2023</w:t>
            </w:r>
          </w:p>
        </w:tc>
        <w:tc>
          <w:tcPr>
            <w:tcW w:w="0" w:type="dxa"/>
            <w:vAlign w:val="bottom"/>
          </w:tcPr>
          <w:p>
            <w:pPr>
              <w:spacing w:after="0"/>
              <w:rPr>
                <w:sz w:val="1"/>
                <w:szCs w:val="1"/>
                <w:color w:val="auto"/>
              </w:rPr>
            </w:pPr>
          </w:p>
        </w:tc>
      </w:tr>
      <w:tr>
        <w:trPr>
          <w:trHeight w:val="230"/>
        </w:trPr>
        <w:tc>
          <w:tcPr>
            <w:tcW w:w="2340" w:type="dxa"/>
            <w:vAlign w:val="bottom"/>
            <w:tcBorders>
              <w:left w:val="single" w:sz="8" w:color="auto"/>
              <w:bottom w:val="single" w:sz="8" w:color="D7E8F5"/>
              <w:right w:val="single" w:sz="8" w:color="auto"/>
            </w:tcBorders>
            <w:shd w:val="clear" w:color="auto" w:fill="D7E8F5"/>
          </w:tcPr>
          <w:p>
            <w:pPr>
              <w:spacing w:after="0"/>
              <w:rPr>
                <w:sz w:val="19"/>
                <w:szCs w:val="19"/>
                <w:color w:val="auto"/>
              </w:rPr>
            </w:pPr>
          </w:p>
        </w:tc>
        <w:tc>
          <w:tcPr>
            <w:tcW w:w="80" w:type="dxa"/>
            <w:vAlign w:val="bottom"/>
            <w:tcBorders>
              <w:bottom w:val="single" w:sz="8" w:color="D7E8F5"/>
            </w:tcBorders>
            <w:shd w:val="clear" w:color="auto" w:fill="D7E8F5"/>
          </w:tcPr>
          <w:p>
            <w:pPr>
              <w:spacing w:after="0"/>
              <w:rPr>
                <w:sz w:val="19"/>
                <w:szCs w:val="19"/>
                <w:color w:val="auto"/>
              </w:rPr>
            </w:pPr>
          </w:p>
        </w:tc>
        <w:tc>
          <w:tcPr>
            <w:tcW w:w="220" w:type="dxa"/>
            <w:vAlign w:val="bottom"/>
            <w:tcBorders>
              <w:bottom w:val="single" w:sz="8" w:color="D7E8F5"/>
            </w:tcBorders>
            <w:shd w:val="clear" w:color="auto" w:fill="D7E8F5"/>
          </w:tcPr>
          <w:p>
            <w:pPr>
              <w:spacing w:after="0"/>
              <w:rPr>
                <w:sz w:val="19"/>
                <w:szCs w:val="19"/>
                <w:color w:val="auto"/>
              </w:rPr>
            </w:pPr>
          </w:p>
        </w:tc>
        <w:tc>
          <w:tcPr>
            <w:tcW w:w="4780" w:type="dxa"/>
            <w:vAlign w:val="bottom"/>
            <w:tcBorders>
              <w:bottom w:val="single" w:sz="8" w:color="D7E8F5"/>
              <w:right w:val="single" w:sz="8" w:color="auto"/>
            </w:tcBorders>
            <w:shd w:val="clear" w:color="auto" w:fill="D7E8F5"/>
          </w:tcPr>
          <w:p>
            <w:pPr>
              <w:ind w:left="60"/>
              <w:spacing w:after="0"/>
              <w:rPr>
                <w:sz w:val="20"/>
                <w:szCs w:val="20"/>
                <w:color w:val="auto"/>
              </w:rPr>
            </w:pPr>
            <w:r>
              <w:rPr>
                <w:rFonts w:ascii="Arial" w:cs="Arial" w:eastAsia="Arial" w:hAnsi="Arial"/>
                <w:sz w:val="14"/>
                <w:szCs w:val="14"/>
                <w:color w:val="auto"/>
              </w:rPr>
              <w:t>Therapeutic Directed to an Extrahepatic Target (33%)</w:t>
            </w:r>
          </w:p>
        </w:tc>
        <w:tc>
          <w:tcPr>
            <w:tcW w:w="1860" w:type="dxa"/>
            <w:vAlign w:val="bottom"/>
            <w:tcBorders>
              <w:bottom w:val="single" w:sz="8" w:color="D7E8F5"/>
              <w:right w:val="single" w:sz="8" w:color="auto"/>
            </w:tcBorders>
            <w:shd w:val="clear" w:color="auto" w:fill="D7E8F5"/>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340" w:type="dxa"/>
            <w:vAlign w:val="bottom"/>
            <w:tcBorders>
              <w:top w:val="single" w:sz="8" w:color="auto"/>
              <w:left w:val="single" w:sz="8" w:color="auto"/>
              <w:right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73"/>
              </w:rPr>
              <w:t>• </w:t>
            </w:r>
          </w:p>
        </w:tc>
        <w:tc>
          <w:tcPr>
            <w:tcW w:w="47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FDA Acceptance of an NDA for a Therapeutic to Treat ATTR Amyloidosis</w:t>
            </w:r>
          </w:p>
        </w:tc>
        <w:tc>
          <w:tcPr>
            <w:tcW w:w="186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Not Yet Achieved</w:t>
            </w:r>
          </w:p>
        </w:tc>
        <w:tc>
          <w:tcPr>
            <w:tcW w:w="0" w:type="dxa"/>
            <w:vAlign w:val="bottom"/>
          </w:tcPr>
          <w:p>
            <w:pPr>
              <w:spacing w:after="0"/>
              <w:rPr>
                <w:sz w:val="1"/>
                <w:szCs w:val="1"/>
                <w:color w:val="auto"/>
              </w:rPr>
            </w:pPr>
          </w:p>
        </w:tc>
      </w:tr>
      <w:tr>
        <w:trPr>
          <w:trHeight w:val="162"/>
        </w:trPr>
        <w:tc>
          <w:tcPr>
            <w:tcW w:w="234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with Cardiomyopathy, After Receipt of Positive Result on Clinical</w:t>
            </w:r>
          </w:p>
        </w:tc>
        <w:tc>
          <w:tcPr>
            <w:tcW w:w="1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40" w:type="dxa"/>
            <w:vAlign w:val="bottom"/>
            <w:tcBorders>
              <w:left w:val="single" w:sz="8" w:color="auto"/>
              <w:right w:val="single" w:sz="8" w:color="auto"/>
            </w:tcBorders>
            <w:vMerge w:val="restart"/>
          </w:tcPr>
          <w:p>
            <w:pPr>
              <w:ind w:left="640"/>
              <w:spacing w:after="0"/>
              <w:rPr>
                <w:sz w:val="20"/>
                <w:szCs w:val="20"/>
                <w:color w:val="auto"/>
              </w:rPr>
            </w:pPr>
            <w:r>
              <w:rPr>
                <w:rFonts w:ascii="Arial" w:cs="Arial" w:eastAsia="Arial" w:hAnsi="Arial"/>
                <w:sz w:val="14"/>
                <w:szCs w:val="14"/>
                <w:color w:val="auto"/>
              </w:rPr>
              <w:t>February 27, 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Outcomes Endpoint from Phase 3 Clinical Study (30%)</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340" w:type="dxa"/>
            <w:vAlign w:val="bottom"/>
            <w:tcBorders>
              <w:left w:val="single" w:sz="8" w:color="auto"/>
              <w:right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340" w:type="dxa"/>
            <w:vAlign w:val="bottom"/>
            <w:tcBorders>
              <w:left w:val="single" w:sz="8" w:color="auto"/>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restart"/>
          </w:tcPr>
          <w:p>
            <w:pPr>
              <w:ind w:left="60"/>
              <w:spacing w:after="0" w:line="147" w:lineRule="exact"/>
              <w:rPr>
                <w:sz w:val="20"/>
                <w:szCs w:val="20"/>
                <w:color w:val="auto"/>
              </w:rPr>
            </w:pPr>
            <w:r>
              <w:rPr>
                <w:rFonts w:ascii="Arial" w:cs="Arial" w:eastAsia="Arial" w:hAnsi="Arial"/>
                <w:sz w:val="14"/>
                <w:szCs w:val="14"/>
                <w:color w:val="auto"/>
                <w:w w:val="73"/>
              </w:rPr>
              <w:t>• </w:t>
            </w:r>
          </w:p>
        </w:tc>
        <w:tc>
          <w:tcPr>
            <w:tcW w:w="4780" w:type="dxa"/>
            <w:vAlign w:val="bottom"/>
            <w:tcBorders>
              <w:right w:val="single" w:sz="8" w:color="auto"/>
            </w:tcBorders>
            <w:vMerge w:val="restart"/>
          </w:tcPr>
          <w:p>
            <w:pPr>
              <w:ind w:left="40"/>
              <w:spacing w:after="0" w:line="147" w:lineRule="exact"/>
              <w:rPr>
                <w:sz w:val="20"/>
                <w:szCs w:val="20"/>
                <w:color w:val="auto"/>
              </w:rPr>
            </w:pPr>
            <w:r>
              <w:rPr>
                <w:rFonts w:ascii="Arial" w:cs="Arial" w:eastAsia="Arial" w:hAnsi="Arial"/>
                <w:sz w:val="14"/>
                <w:szCs w:val="14"/>
                <w:color w:val="auto"/>
              </w:rPr>
              <w:t> Achievement of Human Proof of Concept for Investigational RNAi</w:t>
            </w:r>
          </w:p>
        </w:tc>
        <w:tc>
          <w:tcPr>
            <w:tcW w:w="1860" w:type="dxa"/>
            <w:vAlign w:val="bottom"/>
            <w:tcBorders>
              <w:right w:val="single" w:sz="8" w:color="auto"/>
            </w:tcBorders>
            <w:vMerge w:val="restart"/>
          </w:tcPr>
          <w:p>
            <w:pPr>
              <w:ind w:left="160"/>
              <w:spacing w:after="0" w:line="147" w:lineRule="exact"/>
              <w:rPr>
                <w:sz w:val="20"/>
                <w:szCs w:val="20"/>
                <w:color w:val="auto"/>
              </w:rPr>
            </w:pPr>
            <w:r>
              <w:rPr>
                <w:rFonts w:ascii="Arial" w:cs="Arial" w:eastAsia="Arial" w:hAnsi="Arial"/>
                <w:sz w:val="14"/>
                <w:szCs w:val="14"/>
                <w:color w:val="auto"/>
              </w:rPr>
              <w:t>Not Yet Achieved</w:t>
            </w:r>
          </w:p>
        </w:tc>
        <w:tc>
          <w:tcPr>
            <w:tcW w:w="0" w:type="dxa"/>
            <w:vAlign w:val="bottom"/>
          </w:tcPr>
          <w:p>
            <w:pPr>
              <w:spacing w:after="0"/>
              <w:rPr>
                <w:sz w:val="1"/>
                <w:szCs w:val="1"/>
                <w:color w:val="auto"/>
              </w:rPr>
            </w:pPr>
          </w:p>
        </w:tc>
      </w:tr>
      <w:tr>
        <w:trPr>
          <w:trHeight w:val="53"/>
        </w:trPr>
        <w:tc>
          <w:tcPr>
            <w:tcW w:w="2340" w:type="dxa"/>
            <w:vAlign w:val="bottom"/>
            <w:tcBorders>
              <w:left w:val="single" w:sz="8" w:color="auto"/>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4780" w:type="dxa"/>
            <w:vAlign w:val="bottom"/>
            <w:tcBorders>
              <w:right w:val="single" w:sz="8" w:color="auto"/>
            </w:tcBorders>
            <w:vMerge w:val="continue"/>
          </w:tcPr>
          <w:p>
            <w:pPr>
              <w:spacing w:after="0"/>
              <w:rPr>
                <w:sz w:val="4"/>
                <w:szCs w:val="4"/>
                <w:color w:val="auto"/>
              </w:rPr>
            </w:pPr>
          </w:p>
        </w:tc>
        <w:tc>
          <w:tcPr>
            <w:tcW w:w="18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34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Therapeutic Directed to an Extrahepatic, non-CNS Target (30%)</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340" w:type="dxa"/>
            <w:vAlign w:val="bottom"/>
            <w:tcBorders>
              <w:left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34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73"/>
              </w:rPr>
              <w:t>• </w:t>
            </w:r>
          </w:p>
        </w:tc>
        <w:tc>
          <w:tcPr>
            <w:tcW w:w="47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Achievement of Non-GAAP operating income in fiscal 2025 (40%)</w:t>
            </w:r>
          </w:p>
        </w:tc>
        <w:tc>
          <w:tcPr>
            <w:tcW w:w="18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Not Yet Achieved</w:t>
            </w:r>
          </w:p>
        </w:tc>
        <w:tc>
          <w:tcPr>
            <w:tcW w:w="0" w:type="dxa"/>
            <w:vAlign w:val="bottom"/>
          </w:tcPr>
          <w:p>
            <w:pPr>
              <w:spacing w:after="0"/>
              <w:rPr>
                <w:sz w:val="1"/>
                <w:szCs w:val="1"/>
                <w:color w:val="auto"/>
              </w:rPr>
            </w:pPr>
          </w:p>
        </w:tc>
      </w:tr>
      <w:tr>
        <w:trPr>
          <w:trHeight w:val="26"/>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Benefits and Other Compensation</w:t>
      </w:r>
    </w:p>
    <w:p>
      <w:pPr>
        <w:spacing w:after="0" w:line="204" w:lineRule="exact"/>
        <w:rPr>
          <w:sz w:val="20"/>
          <w:szCs w:val="20"/>
          <w:color w:val="auto"/>
        </w:rPr>
      </w:pPr>
    </w:p>
    <w:p>
      <w:pPr>
        <w:ind w:left="120" w:right="360" w:firstLine="771"/>
        <w:spacing w:after="0" w:line="257" w:lineRule="auto"/>
        <w:rPr>
          <w:sz w:val="20"/>
          <w:szCs w:val="20"/>
          <w:color w:val="auto"/>
        </w:rPr>
      </w:pPr>
      <w:r>
        <w:rPr>
          <w:rFonts w:ascii="Arial" w:cs="Arial" w:eastAsia="Arial" w:hAnsi="Arial"/>
          <w:sz w:val="20"/>
          <w:szCs w:val="20"/>
          <w:color w:val="auto"/>
        </w:rPr>
        <w:t>Other compensation to our executive officers consists primarily of the broad-based benefits we provide to all U.S. based employees, including health and dental insurance, life and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300"/>
        <w:spacing w:after="0" w:line="234" w:lineRule="auto"/>
        <w:rPr>
          <w:sz w:val="20"/>
          <w:szCs w:val="20"/>
          <w:color w:val="auto"/>
        </w:rPr>
      </w:pPr>
      <w:r>
        <w:rPr>
          <w:rFonts w:ascii="Arial" w:cs="Arial" w:eastAsia="Arial" w:hAnsi="Arial"/>
          <w:sz w:val="20"/>
          <w:szCs w:val="20"/>
          <w:color w:val="auto"/>
        </w:rPr>
        <w:t>insurance and a 401(k) plan; however, our executive officers are not eligible to participate in our employee stock purchase plan. Our 401(k) plan is a tax-qualified retirement savings plan pursuant to which all U.S. based employees, including executive officers, are able to contribute the lesser of up to 60% of their annual salary or the limit prescribed by the Internal Revenue Service. We provide an immediately vested matching contribution in our 401(k) plan that equals 100% of the first 2% of a plan participant’s contributions and 50% of the next 4% of contributions.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Committee Process for Setting Total Compensation</w:t>
      </w:r>
    </w:p>
    <w:p>
      <w:pPr>
        <w:spacing w:after="0" w:line="204" w:lineRule="exact"/>
        <w:rPr>
          <w:sz w:val="20"/>
          <w:szCs w:val="20"/>
          <w:color w:val="auto"/>
        </w:rPr>
      </w:pPr>
    </w:p>
    <w:p>
      <w:pPr>
        <w:ind w:left="120" w:right="20" w:firstLine="771"/>
        <w:spacing w:after="0" w:line="229" w:lineRule="auto"/>
        <w:rPr>
          <w:sz w:val="20"/>
          <w:szCs w:val="20"/>
          <w:color w:val="auto"/>
        </w:rPr>
      </w:pPr>
      <w:r>
        <w:rPr>
          <w:rFonts w:ascii="Arial" w:cs="Arial" w:eastAsia="Arial" w:hAnsi="Arial"/>
          <w:sz w:val="20"/>
          <w:szCs w:val="20"/>
          <w:color w:val="auto"/>
        </w:rPr>
        <w:t>We conduct our annual performance reviews and then determine base salary increases, annual cash incentive awards and annual long-term equity awards in the first quarter of each year. As part of this process, our Chief Human Resources Officer, or CHRO, and CEO, with the assistance of the PC&amp;C committee’s compensation consultant, review the individual performance of each NEO (other than the CEO and CHRO), and the PC&amp;C committee evaluates each of these NEO’s compensation and determines any adjustments to base salary and the grant date value of annual long-term incentive awards. The PC&amp;C committee reviews the performance of our CHRO based upon the recommendation of our CEO, without the CHRO being present for such discussion. The PC&amp;C committee reviews the performance of our CEO, without the CEO being present for such discussion, and determines whether to recommend to the board for approval a base salary adjustment, the value of annual long-term incentive award and the award payable under the AIP. The PC&amp;C committee applies its discretion, as it deems appropriate, in determining NEO compensation and does not set compensation based solely on benchmarking or a formulaic approach.</w:t>
      </w:r>
    </w:p>
    <w:p>
      <w:pPr>
        <w:spacing w:after="0" w:line="178" w:lineRule="exact"/>
        <w:rPr>
          <w:sz w:val="20"/>
          <w:szCs w:val="20"/>
          <w:color w:val="auto"/>
        </w:rPr>
      </w:pPr>
    </w:p>
    <w:p>
      <w:pPr>
        <w:ind w:left="120" w:right="40" w:firstLine="771"/>
        <w:spacing w:after="0" w:line="228" w:lineRule="auto"/>
        <w:rPr>
          <w:sz w:val="20"/>
          <w:szCs w:val="20"/>
          <w:color w:val="auto"/>
        </w:rPr>
      </w:pPr>
      <w:r>
        <w:rPr>
          <w:rFonts w:ascii="Arial" w:cs="Arial" w:eastAsia="Arial" w:hAnsi="Arial"/>
          <w:sz w:val="20"/>
          <w:szCs w:val="20"/>
          <w:color w:val="auto"/>
        </w:rPr>
        <w:t>With respect to our AIP, each year the company employs a goal-setting process to establish annual corporate goals and individual performance objectives for our employees, including our NEOs. The individual goals for NEOs generally are the same as the corporate goals for purposes of determining the bonus payable under the AIP, but the NEOs’ individual performance in achieving the corporate goals is taken into consideration for purposes of determining any base salary adjustment and the value of the annual long-term incentive award issued to them in the following year. Once annual corporate goals are established, the PC&amp;C committee and board review and approve such goals, along with the applicable weightings, range of payouts, and overall plan design for the AIP. Early in the second half of each year, management reviews performance against these goals for the first half of the year and may re-align key goals for the second half of the year, if necessary and subject to board approval. During the first quarter of the following year, management evaluates the company’s performance against the prior year’s corporate goals and recommends to the PC&amp;C committee a proposed level of achievement against the goals. The PC&amp;C committee then discusses the recommendations and considers the appropriate level of achievement against each of the respective corporate goals. The PC&amp;C committee then recommends a level of achievement, which we refer to as the “corporate performance modifier,” to the board, and the board considers and approves the final corporate modifier. Based on management’s recommendation, the PC&amp;C committee and board award annual incentive bonus payouts under the AIP to NEOs based solely on the corporate performance modifier approved by the PC&amp;C committee and board, without adjustment for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Compensation Peer Group and Peer Selection Process</w:t>
      </w:r>
    </w:p>
    <w:p>
      <w:pPr>
        <w:spacing w:after="0" w:line="96" w:lineRule="exact"/>
        <w:rPr>
          <w:sz w:val="20"/>
          <w:szCs w:val="20"/>
          <w:color w:val="auto"/>
        </w:rPr>
      </w:pPr>
    </w:p>
    <w:p>
      <w:pPr>
        <w:ind w:left="120" w:right="20" w:firstLine="771"/>
        <w:spacing w:after="0" w:line="234" w:lineRule="auto"/>
        <w:rPr>
          <w:sz w:val="20"/>
          <w:szCs w:val="20"/>
          <w:color w:val="auto"/>
        </w:rPr>
      </w:pPr>
      <w:r>
        <w:rPr>
          <w:rFonts w:ascii="Arial" w:cs="Arial" w:eastAsia="Arial" w:hAnsi="Arial"/>
          <w:sz w:val="20"/>
          <w:szCs w:val="20"/>
          <w:color w:val="auto"/>
        </w:rPr>
        <w:t>The company develops our executive compensation programs after reviewing publicly available compensation data for our peer group and subscription survey data where there is insufficient data that is publicly available. In evaluating the total direct compensation of our NEOs, our PC&amp;C committee, using information provided by its compensation consultant, establishes a peer group of publicly traded companies in the biopharmaceutical and biotechnology industries that is selected based on the following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4457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44577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  Peer Selection Considerations</w:t>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Arial" w:cs="Arial" w:eastAsia="Arial" w:hAnsi="Arial"/>
                <w:sz w:val="18"/>
                <w:szCs w:val="18"/>
                <w:b w:val="1"/>
                <w:bCs w:val="1"/>
                <w:color w:val="auto"/>
              </w:rPr>
              <w:t xml:space="preserve">  Organizational Structure       </w:t>
            </w:r>
          </w:p>
        </w:tc>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Companies that are similar to our company with respect to: organizational structure, number of</w:t>
            </w:r>
          </w:p>
        </w:tc>
      </w:tr>
      <w:tr>
        <w:trPr>
          <w:trHeight w:val="203"/>
        </w:trPr>
        <w:tc>
          <w:tcPr>
            <w:tcW w:w="274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employees (headcount between 500 and 3,000) and positions, stage of development (commercial</w:t>
            </w:r>
          </w:p>
        </w:tc>
      </w:tr>
      <w:tr>
        <w:trPr>
          <w:trHeight w:val="203"/>
        </w:trPr>
        <w:tc>
          <w:tcPr>
            <w:tcW w:w="274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stage with robust pipeline), market capitalization ($5 billion to $75 billion, with a focus on</w:t>
            </w:r>
          </w:p>
        </w:tc>
      </w:tr>
      <w:tr>
        <w:trPr>
          <w:trHeight w:val="203"/>
        </w:trPr>
        <w:tc>
          <w:tcPr>
            <w:tcW w:w="274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companies with market capitalization greater than $20 billion), and product revenues ($500 million</w:t>
            </w:r>
          </w:p>
        </w:tc>
      </w:tr>
      <w:tr>
        <w:trPr>
          <w:trHeight w:val="239"/>
        </w:trPr>
        <w:tc>
          <w:tcPr>
            <w:tcW w:w="2740" w:type="dxa"/>
            <w:vAlign w:val="bottom"/>
          </w:tcPr>
          <w:p>
            <w:pPr>
              <w:spacing w:after="0"/>
              <w:rPr>
                <w:sz w:val="20"/>
                <w:szCs w:val="20"/>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to $3 billion)</w:t>
            </w:r>
          </w:p>
        </w:tc>
      </w:tr>
      <w:tr>
        <w:trPr>
          <w:trHeight w:val="239"/>
        </w:trPr>
        <w:tc>
          <w:tcPr>
            <w:tcW w:w="2740" w:type="dxa"/>
            <w:vAlign w:val="bottom"/>
            <w:tcBorders>
              <w:bottom w:val="single" w:sz="8" w:color="1D3060"/>
            </w:tcBorders>
          </w:tcPr>
          <w:p>
            <w:pPr>
              <w:spacing w:after="0"/>
              <w:rPr>
                <w:sz w:val="20"/>
                <w:szCs w:val="20"/>
                <w:color w:val="auto"/>
              </w:rPr>
            </w:pPr>
          </w:p>
        </w:tc>
        <w:tc>
          <w:tcPr>
            <w:tcW w:w="8280" w:type="dxa"/>
            <w:vAlign w:val="bottom"/>
            <w:tcBorders>
              <w:bottom w:val="single" w:sz="8" w:color="1D3060"/>
            </w:tcBorders>
          </w:tcPr>
          <w:p>
            <w:pPr>
              <w:spacing w:after="0"/>
              <w:rPr>
                <w:sz w:val="20"/>
                <w:szCs w:val="20"/>
                <w:color w:val="auto"/>
              </w:rPr>
            </w:pPr>
          </w:p>
        </w:tc>
      </w:tr>
      <w:tr>
        <w:trPr>
          <w:trHeight w:val="383"/>
        </w:trPr>
        <w:tc>
          <w:tcPr>
            <w:tcW w:w="2740" w:type="dxa"/>
            <w:vAlign w:val="bottom"/>
          </w:tcPr>
          <w:p>
            <w:pPr>
              <w:spacing w:after="0"/>
              <w:rPr>
                <w:sz w:val="20"/>
                <w:szCs w:val="20"/>
                <w:color w:val="auto"/>
              </w:rPr>
            </w:pPr>
            <w:r>
              <w:rPr>
                <w:rFonts w:ascii="Arial" w:cs="Arial" w:eastAsia="Arial" w:hAnsi="Arial"/>
                <w:sz w:val="18"/>
                <w:szCs w:val="18"/>
                <w:b w:val="1"/>
                <w:bCs w:val="1"/>
                <w:color w:val="auto"/>
              </w:rPr>
              <w:t>  Executive Positions</w:t>
            </w:r>
          </w:p>
        </w:tc>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Companies with similar executive positions to ours</w:t>
            </w:r>
          </w:p>
        </w:tc>
      </w:tr>
      <w:tr>
        <w:trPr>
          <w:trHeight w:val="231"/>
        </w:trPr>
        <w:tc>
          <w:tcPr>
            <w:tcW w:w="2740" w:type="dxa"/>
            <w:vAlign w:val="bottom"/>
            <w:tcBorders>
              <w:bottom w:val="single" w:sz="8" w:color="1D3060"/>
            </w:tcBorders>
          </w:tcPr>
          <w:p>
            <w:pPr>
              <w:spacing w:after="0"/>
              <w:rPr>
                <w:sz w:val="20"/>
                <w:szCs w:val="20"/>
                <w:color w:val="auto"/>
              </w:rPr>
            </w:pPr>
          </w:p>
        </w:tc>
        <w:tc>
          <w:tcPr>
            <w:tcW w:w="8280" w:type="dxa"/>
            <w:vAlign w:val="bottom"/>
            <w:tcBorders>
              <w:bottom w:val="single" w:sz="8" w:color="1D3060"/>
            </w:tcBorders>
          </w:tcPr>
          <w:p>
            <w:pPr>
              <w:spacing w:after="0"/>
              <w:rPr>
                <w:sz w:val="20"/>
                <w:szCs w:val="20"/>
                <w:color w:val="auto"/>
              </w:rPr>
            </w:pPr>
          </w:p>
        </w:tc>
      </w:tr>
      <w:tr>
        <w:trPr>
          <w:trHeight w:val="383"/>
        </w:trPr>
        <w:tc>
          <w:tcPr>
            <w:tcW w:w="2740" w:type="dxa"/>
            <w:vAlign w:val="bottom"/>
          </w:tcPr>
          <w:p>
            <w:pPr>
              <w:spacing w:after="0"/>
              <w:rPr>
                <w:sz w:val="20"/>
                <w:szCs w:val="20"/>
                <w:color w:val="auto"/>
              </w:rPr>
            </w:pPr>
            <w:r>
              <w:rPr>
                <w:rFonts w:ascii="Arial" w:cs="Arial" w:eastAsia="Arial" w:hAnsi="Arial"/>
                <w:sz w:val="18"/>
                <w:szCs w:val="18"/>
                <w:b w:val="1"/>
                <w:bCs w:val="1"/>
                <w:color w:val="auto"/>
              </w:rPr>
              <w:t>  Executive Talent Pool</w:t>
            </w:r>
          </w:p>
        </w:tc>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Companies with which we compete for executive talent</w:t>
            </w:r>
          </w:p>
        </w:tc>
      </w:tr>
      <w:tr>
        <w:trPr>
          <w:trHeight w:val="231"/>
        </w:trPr>
        <w:tc>
          <w:tcPr>
            <w:tcW w:w="2740" w:type="dxa"/>
            <w:vAlign w:val="bottom"/>
            <w:tcBorders>
              <w:bottom w:val="single" w:sz="8" w:color="1D3060"/>
            </w:tcBorders>
          </w:tcPr>
          <w:p>
            <w:pPr>
              <w:spacing w:after="0"/>
              <w:rPr>
                <w:sz w:val="20"/>
                <w:szCs w:val="20"/>
                <w:color w:val="auto"/>
              </w:rPr>
            </w:pPr>
          </w:p>
        </w:tc>
        <w:tc>
          <w:tcPr>
            <w:tcW w:w="8280" w:type="dxa"/>
            <w:vAlign w:val="bottom"/>
            <w:tcBorders>
              <w:bottom w:val="single" w:sz="8" w:color="1D3060"/>
            </w:tcBorders>
          </w:tcPr>
          <w:p>
            <w:pPr>
              <w:spacing w:after="0"/>
              <w:rPr>
                <w:sz w:val="20"/>
                <w:szCs w:val="20"/>
                <w:color w:val="auto"/>
              </w:rPr>
            </w:pPr>
          </w:p>
        </w:tc>
      </w:tr>
      <w:tr>
        <w:trPr>
          <w:trHeight w:val="383"/>
        </w:trPr>
        <w:tc>
          <w:tcPr>
            <w:tcW w:w="2740" w:type="dxa"/>
            <w:vAlign w:val="bottom"/>
          </w:tcPr>
          <w:p>
            <w:pPr>
              <w:spacing w:after="0"/>
              <w:rPr>
                <w:sz w:val="20"/>
                <w:szCs w:val="20"/>
                <w:color w:val="auto"/>
              </w:rPr>
            </w:pPr>
            <w:r>
              <w:rPr>
                <w:rFonts w:ascii="Arial" w:cs="Arial" w:eastAsia="Arial" w:hAnsi="Arial"/>
                <w:sz w:val="18"/>
                <w:szCs w:val="18"/>
                <w:b w:val="1"/>
                <w:bCs w:val="1"/>
                <w:color w:val="auto"/>
              </w:rPr>
              <w:t>  Global Operations</w:t>
            </w:r>
          </w:p>
        </w:tc>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Public companies with international presence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20" w:right="540" w:firstLine="771"/>
        <w:spacing w:after="0" w:line="257" w:lineRule="auto"/>
        <w:rPr>
          <w:sz w:val="20"/>
          <w:szCs w:val="20"/>
          <w:color w:val="auto"/>
        </w:rPr>
      </w:pPr>
      <w:r>
        <w:rPr>
          <w:rFonts w:ascii="Arial" w:cs="Arial" w:eastAsia="Arial" w:hAnsi="Arial"/>
          <w:sz w:val="20"/>
          <w:szCs w:val="20"/>
          <w:color w:val="auto"/>
        </w:rPr>
        <w:t>In addition to the criteria set forth above, the PC&amp;C committee also reviewed the peer selection criteria used by proxy advisors as well as the specific peers identified by each advisor.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2023 Peer Group</w:t>
      </w:r>
    </w:p>
    <w:p>
      <w:pPr>
        <w:spacing w:after="0" w:line="202" w:lineRule="exact"/>
        <w:rPr>
          <w:sz w:val="20"/>
          <w:szCs w:val="20"/>
          <w:color w:val="auto"/>
        </w:rPr>
      </w:pPr>
    </w:p>
    <w:p>
      <w:pPr>
        <w:ind w:left="120" w:right="40" w:firstLine="771"/>
        <w:spacing w:after="0" w:line="241" w:lineRule="auto"/>
        <w:rPr>
          <w:sz w:val="20"/>
          <w:szCs w:val="20"/>
          <w:color w:val="auto"/>
        </w:rPr>
      </w:pPr>
      <w:r>
        <w:rPr>
          <w:rFonts w:ascii="Arial" w:cs="Arial" w:eastAsia="Arial" w:hAnsi="Arial"/>
          <w:sz w:val="19"/>
          <w:szCs w:val="19"/>
          <w:color w:val="auto"/>
        </w:rPr>
        <w:t>The PC&amp;C committee periodically reviews our peer group to determine that it continues to include appropriate peers for executive compensation benchmarking purposes. The PC&amp;C committee typically conducts this review in the fourth quarter of each fiscal year and uses the approved peer group to benchmark and set compensation for our NEOs in the first quarter of the following fiscal year. Accordingly, in the fourth quarter of 2022, the PC&amp;C committee reviewed our peer group which, at the time consisted of 16 companies operating in the biopharmaceutical/biotechnology industry. After review and analysis performed by the compensation consultant, the PC&amp;C committee determined that five companies (Acceleron Pharma, Inc., Alexion Pharmaceuticals, Inc., Ionis Pharmaceuticals, Novavax, Inc. and Ultragenyx Pharmaceutical Inc.) were no longer appropriate as peers on a go-forward basis due to changes in market capitalization and/or revenue or because they were acquired in a business transaction. The PC&amp;C committee also determined that it would be appropriate to add three companies (Biogen Inc., Moderna Inc. and Vertex Pharmaceuticals Incorporated) to our peer group based primarily on our financial and business position as a maturing commercial company. The peer group reflecting these changes and approved by the PC&amp;C committee is shown below. This peer group was used in connection with compensation decisions made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440"/>
        <w:spacing w:after="0" w:line="257" w:lineRule="auto"/>
        <w:rPr>
          <w:sz w:val="20"/>
          <w:szCs w:val="20"/>
          <w:color w:val="auto"/>
        </w:rPr>
      </w:pPr>
      <w:r>
        <w:rPr>
          <w:rFonts w:ascii="Arial" w:cs="Arial" w:eastAsia="Arial" w:hAnsi="Arial"/>
          <w:sz w:val="20"/>
          <w:szCs w:val="20"/>
          <w:color w:val="auto"/>
        </w:rPr>
        <w:t>PC&amp;C committee and board in February 2023 relating to base salary adjustments and annual long-term incentive awards granted in February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2743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2023 Peer Group</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342"/>
        </w:trPr>
        <w:tc>
          <w:tcPr>
            <w:tcW w:w="3780" w:type="dxa"/>
            <w:vAlign w:val="bottom"/>
            <w:shd w:val="clear" w:color="auto" w:fill="D7E8F5"/>
          </w:tcPr>
          <w:p>
            <w:pPr>
              <w:spacing w:after="0"/>
              <w:rPr>
                <w:sz w:val="20"/>
                <w:szCs w:val="20"/>
                <w:color w:val="auto"/>
              </w:rPr>
            </w:pPr>
            <w:r>
              <w:rPr>
                <w:rFonts w:ascii="Arial" w:cs="Arial" w:eastAsia="Arial" w:hAnsi="Arial"/>
                <w:sz w:val="18"/>
                <w:szCs w:val="18"/>
                <w:color w:val="auto"/>
              </w:rPr>
              <w:t>BeiGene, Ltd.</w:t>
            </w:r>
          </w:p>
        </w:tc>
        <w:tc>
          <w:tcPr>
            <w:tcW w:w="3180" w:type="dxa"/>
            <w:vAlign w:val="bottom"/>
            <w:shd w:val="clear" w:color="auto" w:fill="D7E8F5"/>
          </w:tcPr>
          <w:p>
            <w:pPr>
              <w:ind w:left="220"/>
              <w:spacing w:after="0"/>
              <w:rPr>
                <w:sz w:val="20"/>
                <w:szCs w:val="20"/>
                <w:color w:val="auto"/>
              </w:rPr>
            </w:pPr>
            <w:r>
              <w:rPr>
                <w:rFonts w:ascii="Arial" w:cs="Arial" w:eastAsia="Arial" w:hAnsi="Arial"/>
                <w:sz w:val="18"/>
                <w:szCs w:val="18"/>
                <w:color w:val="auto"/>
              </w:rPr>
              <w:t>Horizon Therapeutics plc</w:t>
            </w:r>
          </w:p>
        </w:tc>
        <w:tc>
          <w:tcPr>
            <w:tcW w:w="4060" w:type="dxa"/>
            <w:vAlign w:val="bottom"/>
            <w:shd w:val="clear" w:color="auto" w:fill="D7E8F5"/>
          </w:tcPr>
          <w:p>
            <w:pPr>
              <w:ind w:left="820"/>
              <w:spacing w:after="0"/>
              <w:rPr>
                <w:sz w:val="20"/>
                <w:szCs w:val="20"/>
                <w:color w:val="auto"/>
              </w:rPr>
            </w:pPr>
            <w:r>
              <w:rPr>
                <w:rFonts w:ascii="Arial" w:cs="Arial" w:eastAsia="Arial" w:hAnsi="Arial"/>
                <w:sz w:val="18"/>
                <w:szCs w:val="18"/>
                <w:color w:val="auto"/>
              </w:rPr>
              <w:t>Neurocrine Biosciences, Inc.</w:t>
            </w:r>
          </w:p>
        </w:tc>
      </w:tr>
      <w:tr>
        <w:trPr>
          <w:trHeight w:val="117"/>
        </w:trPr>
        <w:tc>
          <w:tcPr>
            <w:tcW w:w="3780" w:type="dxa"/>
            <w:vAlign w:val="bottom"/>
            <w:shd w:val="clear" w:color="auto" w:fill="D7E8F5"/>
          </w:tcPr>
          <w:p>
            <w:pPr>
              <w:spacing w:after="0"/>
              <w:rPr>
                <w:sz w:val="10"/>
                <w:szCs w:val="10"/>
                <w:color w:val="auto"/>
              </w:rPr>
            </w:pPr>
          </w:p>
        </w:tc>
        <w:tc>
          <w:tcPr>
            <w:tcW w:w="3180" w:type="dxa"/>
            <w:vAlign w:val="bottom"/>
            <w:shd w:val="clear" w:color="auto" w:fill="D7E8F5"/>
          </w:tcPr>
          <w:p>
            <w:pPr>
              <w:spacing w:after="0"/>
              <w:rPr>
                <w:sz w:val="10"/>
                <w:szCs w:val="10"/>
                <w:color w:val="auto"/>
              </w:rPr>
            </w:pPr>
          </w:p>
        </w:tc>
        <w:tc>
          <w:tcPr>
            <w:tcW w:w="4060" w:type="dxa"/>
            <w:vAlign w:val="bottom"/>
            <w:shd w:val="clear" w:color="auto" w:fill="D7E8F5"/>
          </w:tcPr>
          <w:p>
            <w:pPr>
              <w:spacing w:after="0"/>
              <w:rPr>
                <w:sz w:val="10"/>
                <w:szCs w:val="10"/>
                <w:color w:val="auto"/>
              </w:rPr>
            </w:pPr>
          </w:p>
        </w:tc>
      </w:tr>
      <w:tr>
        <w:trPr>
          <w:trHeight w:val="342"/>
        </w:trPr>
        <w:tc>
          <w:tcPr>
            <w:tcW w:w="3780" w:type="dxa"/>
            <w:vAlign w:val="bottom"/>
          </w:tcPr>
          <w:p>
            <w:pPr>
              <w:spacing w:after="0"/>
              <w:rPr>
                <w:sz w:val="20"/>
                <w:szCs w:val="20"/>
                <w:color w:val="auto"/>
              </w:rPr>
            </w:pPr>
            <w:r>
              <w:rPr>
                <w:rFonts w:ascii="Arial" w:cs="Arial" w:eastAsia="Arial" w:hAnsi="Arial"/>
                <w:sz w:val="18"/>
                <w:szCs w:val="18"/>
                <w:color w:val="auto"/>
              </w:rPr>
              <w:t>Biogen Inc.</w:t>
            </w:r>
          </w:p>
        </w:tc>
        <w:tc>
          <w:tcPr>
            <w:tcW w:w="3180" w:type="dxa"/>
            <w:vAlign w:val="bottom"/>
          </w:tcPr>
          <w:p>
            <w:pPr>
              <w:ind w:left="220"/>
              <w:spacing w:after="0"/>
              <w:rPr>
                <w:sz w:val="20"/>
                <w:szCs w:val="20"/>
                <w:color w:val="auto"/>
              </w:rPr>
            </w:pPr>
            <w:r>
              <w:rPr>
                <w:rFonts w:ascii="Arial" w:cs="Arial" w:eastAsia="Arial" w:hAnsi="Arial"/>
                <w:sz w:val="18"/>
                <w:szCs w:val="18"/>
                <w:color w:val="auto"/>
              </w:rPr>
              <w:t>Incyte Corporation</w:t>
            </w:r>
          </w:p>
        </w:tc>
        <w:tc>
          <w:tcPr>
            <w:tcW w:w="4060" w:type="dxa"/>
            <w:vAlign w:val="bottom"/>
          </w:tcPr>
          <w:p>
            <w:pPr>
              <w:ind w:left="820"/>
              <w:spacing w:after="0"/>
              <w:rPr>
                <w:sz w:val="20"/>
                <w:szCs w:val="20"/>
                <w:color w:val="auto"/>
              </w:rPr>
            </w:pPr>
            <w:r>
              <w:rPr>
                <w:rFonts w:ascii="Arial" w:cs="Arial" w:eastAsia="Arial" w:hAnsi="Arial"/>
                <w:sz w:val="18"/>
                <w:szCs w:val="18"/>
                <w:color w:val="auto"/>
              </w:rPr>
              <w:t>Sarepta Therapeutics, Inc.</w:t>
            </w:r>
          </w:p>
        </w:tc>
      </w:tr>
      <w:tr>
        <w:trPr>
          <w:trHeight w:val="118"/>
        </w:trPr>
        <w:tc>
          <w:tcPr>
            <w:tcW w:w="37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60" w:type="dxa"/>
            <w:vAlign w:val="bottom"/>
          </w:tcPr>
          <w:p>
            <w:pPr>
              <w:spacing w:after="0"/>
              <w:rPr>
                <w:sz w:val="10"/>
                <w:szCs w:val="10"/>
                <w:color w:val="auto"/>
              </w:rPr>
            </w:pPr>
          </w:p>
        </w:tc>
      </w:tr>
      <w:tr>
        <w:trPr>
          <w:trHeight w:val="342"/>
        </w:trPr>
        <w:tc>
          <w:tcPr>
            <w:tcW w:w="3780" w:type="dxa"/>
            <w:vAlign w:val="bottom"/>
            <w:shd w:val="clear" w:color="auto" w:fill="D7E8F5"/>
          </w:tcPr>
          <w:p>
            <w:pPr>
              <w:spacing w:after="0"/>
              <w:rPr>
                <w:sz w:val="20"/>
                <w:szCs w:val="20"/>
                <w:color w:val="auto"/>
              </w:rPr>
            </w:pPr>
            <w:r>
              <w:rPr>
                <w:rFonts w:ascii="Arial" w:cs="Arial" w:eastAsia="Arial" w:hAnsi="Arial"/>
                <w:sz w:val="18"/>
                <w:szCs w:val="18"/>
                <w:color w:val="auto"/>
              </w:rPr>
              <w:t>BioMarin Pharmaceutical Inc.</w:t>
            </w:r>
          </w:p>
        </w:tc>
        <w:tc>
          <w:tcPr>
            <w:tcW w:w="3180" w:type="dxa"/>
            <w:vAlign w:val="bottom"/>
            <w:shd w:val="clear" w:color="auto" w:fill="D7E8F5"/>
          </w:tcPr>
          <w:p>
            <w:pPr>
              <w:ind w:left="220"/>
              <w:spacing w:after="0"/>
              <w:rPr>
                <w:sz w:val="20"/>
                <w:szCs w:val="20"/>
                <w:color w:val="auto"/>
              </w:rPr>
            </w:pPr>
            <w:r>
              <w:rPr>
                <w:rFonts w:ascii="Arial" w:cs="Arial" w:eastAsia="Arial" w:hAnsi="Arial"/>
                <w:sz w:val="18"/>
                <w:szCs w:val="18"/>
                <w:color w:val="auto"/>
              </w:rPr>
              <w:t>Ionis Pharmaceuticals, Inc.</w:t>
            </w:r>
          </w:p>
        </w:tc>
        <w:tc>
          <w:tcPr>
            <w:tcW w:w="4060" w:type="dxa"/>
            <w:vAlign w:val="bottom"/>
            <w:shd w:val="clear" w:color="auto" w:fill="D7E8F5"/>
          </w:tcPr>
          <w:p>
            <w:pPr>
              <w:ind w:left="820"/>
              <w:spacing w:after="0"/>
              <w:rPr>
                <w:sz w:val="20"/>
                <w:szCs w:val="20"/>
                <w:color w:val="auto"/>
              </w:rPr>
            </w:pPr>
            <w:r>
              <w:rPr>
                <w:rFonts w:ascii="Arial" w:cs="Arial" w:eastAsia="Arial" w:hAnsi="Arial"/>
                <w:sz w:val="18"/>
                <w:szCs w:val="18"/>
                <w:color w:val="auto"/>
              </w:rPr>
              <w:t>Seagen Inc.</w:t>
            </w:r>
          </w:p>
        </w:tc>
      </w:tr>
      <w:tr>
        <w:trPr>
          <w:trHeight w:val="118"/>
        </w:trPr>
        <w:tc>
          <w:tcPr>
            <w:tcW w:w="3780" w:type="dxa"/>
            <w:vAlign w:val="bottom"/>
            <w:shd w:val="clear" w:color="auto" w:fill="D7E8F5"/>
          </w:tcPr>
          <w:p>
            <w:pPr>
              <w:spacing w:after="0"/>
              <w:rPr>
                <w:sz w:val="10"/>
                <w:szCs w:val="10"/>
                <w:color w:val="auto"/>
              </w:rPr>
            </w:pPr>
          </w:p>
        </w:tc>
        <w:tc>
          <w:tcPr>
            <w:tcW w:w="3180" w:type="dxa"/>
            <w:vAlign w:val="bottom"/>
            <w:shd w:val="clear" w:color="auto" w:fill="D7E8F5"/>
          </w:tcPr>
          <w:p>
            <w:pPr>
              <w:spacing w:after="0"/>
              <w:rPr>
                <w:sz w:val="10"/>
                <w:szCs w:val="10"/>
                <w:color w:val="auto"/>
              </w:rPr>
            </w:pPr>
          </w:p>
        </w:tc>
        <w:tc>
          <w:tcPr>
            <w:tcW w:w="4060" w:type="dxa"/>
            <w:vAlign w:val="bottom"/>
            <w:shd w:val="clear" w:color="auto" w:fill="D7E8F5"/>
          </w:tcPr>
          <w:p>
            <w:pPr>
              <w:spacing w:after="0"/>
              <w:rPr>
                <w:sz w:val="10"/>
                <w:szCs w:val="10"/>
                <w:color w:val="auto"/>
              </w:rPr>
            </w:pPr>
          </w:p>
        </w:tc>
      </w:tr>
      <w:tr>
        <w:trPr>
          <w:trHeight w:val="342"/>
        </w:trPr>
        <w:tc>
          <w:tcPr>
            <w:tcW w:w="3780" w:type="dxa"/>
            <w:vAlign w:val="bottom"/>
          </w:tcPr>
          <w:p>
            <w:pPr>
              <w:spacing w:after="0"/>
              <w:rPr>
                <w:sz w:val="20"/>
                <w:szCs w:val="20"/>
                <w:color w:val="auto"/>
              </w:rPr>
            </w:pPr>
            <w:r>
              <w:rPr>
                <w:rFonts w:ascii="Arial" w:cs="Arial" w:eastAsia="Arial" w:hAnsi="Arial"/>
                <w:sz w:val="18"/>
                <w:szCs w:val="18"/>
                <w:color w:val="auto"/>
              </w:rPr>
              <w:t>Exact Sciences Corporation</w:t>
            </w:r>
          </w:p>
        </w:tc>
        <w:tc>
          <w:tcPr>
            <w:tcW w:w="3180" w:type="dxa"/>
            <w:vAlign w:val="bottom"/>
          </w:tcPr>
          <w:p>
            <w:pPr>
              <w:ind w:left="220"/>
              <w:spacing w:after="0"/>
              <w:rPr>
                <w:sz w:val="20"/>
                <w:szCs w:val="20"/>
                <w:color w:val="auto"/>
              </w:rPr>
            </w:pPr>
            <w:r>
              <w:rPr>
                <w:rFonts w:ascii="Arial" w:cs="Arial" w:eastAsia="Arial" w:hAnsi="Arial"/>
                <w:sz w:val="18"/>
                <w:szCs w:val="18"/>
                <w:color w:val="auto"/>
              </w:rPr>
              <w:t>Jazz Pharmaceuticals plc</w:t>
            </w:r>
          </w:p>
        </w:tc>
        <w:tc>
          <w:tcPr>
            <w:tcW w:w="4060" w:type="dxa"/>
            <w:vAlign w:val="bottom"/>
          </w:tcPr>
          <w:p>
            <w:pPr>
              <w:ind w:left="820"/>
              <w:spacing w:after="0"/>
              <w:rPr>
                <w:sz w:val="20"/>
                <w:szCs w:val="20"/>
                <w:color w:val="auto"/>
              </w:rPr>
            </w:pPr>
            <w:r>
              <w:rPr>
                <w:rFonts w:ascii="Arial" w:cs="Arial" w:eastAsia="Arial" w:hAnsi="Arial"/>
                <w:sz w:val="18"/>
                <w:szCs w:val="18"/>
                <w:color w:val="auto"/>
              </w:rPr>
              <w:t>United Therapeutics Corporation</w:t>
            </w:r>
          </w:p>
        </w:tc>
      </w:tr>
      <w:tr>
        <w:trPr>
          <w:trHeight w:val="117"/>
        </w:trPr>
        <w:tc>
          <w:tcPr>
            <w:tcW w:w="37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60" w:type="dxa"/>
            <w:vAlign w:val="bottom"/>
          </w:tcPr>
          <w:p>
            <w:pPr>
              <w:spacing w:after="0"/>
              <w:rPr>
                <w:sz w:val="10"/>
                <w:szCs w:val="10"/>
                <w:color w:val="auto"/>
              </w:rPr>
            </w:pPr>
          </w:p>
        </w:tc>
      </w:tr>
      <w:tr>
        <w:trPr>
          <w:trHeight w:val="342"/>
        </w:trPr>
        <w:tc>
          <w:tcPr>
            <w:tcW w:w="3780" w:type="dxa"/>
            <w:vAlign w:val="bottom"/>
            <w:shd w:val="clear" w:color="auto" w:fill="D7E8F5"/>
          </w:tcPr>
          <w:p>
            <w:pPr>
              <w:spacing w:after="0"/>
              <w:rPr>
                <w:sz w:val="20"/>
                <w:szCs w:val="20"/>
                <w:color w:val="auto"/>
              </w:rPr>
            </w:pPr>
            <w:r>
              <w:rPr>
                <w:rFonts w:ascii="Arial" w:cs="Arial" w:eastAsia="Arial" w:hAnsi="Arial"/>
                <w:sz w:val="18"/>
                <w:szCs w:val="18"/>
                <w:color w:val="auto"/>
              </w:rPr>
              <w:t>Exelixis, Inc.</w:t>
            </w:r>
          </w:p>
        </w:tc>
        <w:tc>
          <w:tcPr>
            <w:tcW w:w="3180" w:type="dxa"/>
            <w:vAlign w:val="bottom"/>
            <w:shd w:val="clear" w:color="auto" w:fill="D7E8F5"/>
          </w:tcPr>
          <w:p>
            <w:pPr>
              <w:ind w:left="220"/>
              <w:spacing w:after="0"/>
              <w:rPr>
                <w:sz w:val="20"/>
                <w:szCs w:val="20"/>
                <w:color w:val="auto"/>
              </w:rPr>
            </w:pPr>
            <w:r>
              <w:rPr>
                <w:rFonts w:ascii="Arial" w:cs="Arial" w:eastAsia="Arial" w:hAnsi="Arial"/>
                <w:sz w:val="18"/>
                <w:szCs w:val="18"/>
                <w:color w:val="auto"/>
              </w:rPr>
              <w:t>Moderna, Inc.</w:t>
            </w:r>
          </w:p>
        </w:tc>
        <w:tc>
          <w:tcPr>
            <w:tcW w:w="4060" w:type="dxa"/>
            <w:vAlign w:val="bottom"/>
            <w:shd w:val="clear" w:color="auto" w:fill="D7E8F5"/>
          </w:tcPr>
          <w:p>
            <w:pPr>
              <w:ind w:left="820"/>
              <w:spacing w:after="0"/>
              <w:rPr>
                <w:sz w:val="20"/>
                <w:szCs w:val="20"/>
                <w:color w:val="auto"/>
              </w:rPr>
            </w:pPr>
            <w:r>
              <w:rPr>
                <w:rFonts w:ascii="Arial" w:cs="Arial" w:eastAsia="Arial" w:hAnsi="Arial"/>
                <w:sz w:val="18"/>
                <w:szCs w:val="18"/>
                <w:color w:val="auto"/>
              </w:rPr>
              <w:t>Vertex Pharmaceuticals Incorporated</w:t>
            </w:r>
          </w:p>
        </w:tc>
      </w:tr>
      <w:tr>
        <w:trPr>
          <w:trHeight w:val="117"/>
        </w:trPr>
        <w:tc>
          <w:tcPr>
            <w:tcW w:w="3780" w:type="dxa"/>
            <w:vAlign w:val="bottom"/>
            <w:tcBorders>
              <w:bottom w:val="single" w:sz="8" w:color="2275B5"/>
            </w:tcBorders>
            <w:shd w:val="clear" w:color="auto" w:fill="D7E8F5"/>
          </w:tcPr>
          <w:p>
            <w:pPr>
              <w:spacing w:after="0"/>
              <w:rPr>
                <w:sz w:val="10"/>
                <w:szCs w:val="10"/>
                <w:color w:val="auto"/>
              </w:rPr>
            </w:pPr>
          </w:p>
        </w:tc>
        <w:tc>
          <w:tcPr>
            <w:tcW w:w="3180" w:type="dxa"/>
            <w:vAlign w:val="bottom"/>
            <w:tcBorders>
              <w:bottom w:val="single" w:sz="8" w:color="2275B5"/>
            </w:tcBorders>
            <w:shd w:val="clear" w:color="auto" w:fill="D7E8F5"/>
          </w:tcPr>
          <w:p>
            <w:pPr>
              <w:spacing w:after="0"/>
              <w:rPr>
                <w:sz w:val="10"/>
                <w:szCs w:val="10"/>
                <w:color w:val="auto"/>
              </w:rPr>
            </w:pPr>
          </w:p>
        </w:tc>
        <w:tc>
          <w:tcPr>
            <w:tcW w:w="4060" w:type="dxa"/>
            <w:vAlign w:val="bottom"/>
            <w:tcBorders>
              <w:bottom w:val="single" w:sz="8" w:color="2275B5"/>
            </w:tcBorders>
            <w:shd w:val="clear" w:color="auto" w:fill="D7E8F5"/>
          </w:tcPr>
          <w:p>
            <w:pPr>
              <w:spacing w:after="0"/>
              <w:rPr>
                <w:sz w:val="10"/>
                <w:szCs w:val="10"/>
                <w:color w:val="auto"/>
              </w:rPr>
            </w:pPr>
          </w:p>
        </w:tc>
      </w:tr>
    </w:tbl>
    <w:p>
      <w:pPr>
        <w:spacing w:after="0" w:line="194" w:lineRule="exact"/>
        <w:rPr>
          <w:sz w:val="20"/>
          <w:szCs w:val="20"/>
          <w:color w:val="auto"/>
        </w:rPr>
      </w:pPr>
    </w:p>
    <w:p>
      <w:pPr>
        <w:ind w:left="120" w:right="300" w:firstLine="771"/>
        <w:spacing w:after="0" w:line="241" w:lineRule="auto"/>
        <w:rPr>
          <w:sz w:val="20"/>
          <w:szCs w:val="20"/>
          <w:color w:val="auto"/>
        </w:rPr>
      </w:pPr>
      <w:r>
        <w:rPr>
          <w:rFonts w:ascii="Arial" w:cs="Arial" w:eastAsia="Arial" w:hAnsi="Arial"/>
          <w:sz w:val="20"/>
          <w:szCs w:val="20"/>
          <w:color w:val="auto"/>
        </w:rPr>
        <w:t>In the fourth quarter of 2023, the PC&amp;C committee reviewed the peer group and determined that it remained an appropriate peer group for purposes of setting compensation for our NEOs, with the exception of Seagen, Inc. and Horizon Therapeutics plc because both companies had been acquired in business transactions.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Compensation Benchmarking</w:t>
      </w:r>
    </w:p>
    <w:p>
      <w:pPr>
        <w:spacing w:after="0" w:line="202" w:lineRule="exact"/>
        <w:rPr>
          <w:sz w:val="20"/>
          <w:szCs w:val="20"/>
          <w:color w:val="auto"/>
        </w:rPr>
      </w:pPr>
    </w:p>
    <w:p>
      <w:pPr>
        <w:ind w:left="120" w:right="820" w:firstLine="771"/>
        <w:spacing w:after="0" w:line="260" w:lineRule="auto"/>
        <w:rPr>
          <w:sz w:val="20"/>
          <w:szCs w:val="20"/>
          <w:color w:val="auto"/>
        </w:rPr>
      </w:pPr>
      <w:r>
        <w:rPr>
          <w:rFonts w:ascii="Arial" w:cs="Arial" w:eastAsia="Arial" w:hAnsi="Arial"/>
          <w:sz w:val="19"/>
          <w:szCs w:val="19"/>
          <w:color w:val="auto"/>
        </w:rPr>
        <w:t>To provide the appropriate context for executive pay decisions, our PC&amp;C committee, in consultation with its compensation consultant, assessed the compensation practices and pay levels of our peer group. We believe the compensation practices of our peer group are appropriate to reference in evaluating the compensation of our NEOs.</w:t>
      </w:r>
    </w:p>
    <w:p>
      <w:pPr>
        <w:spacing w:after="0" w:line="154" w:lineRule="exact"/>
        <w:rPr>
          <w:sz w:val="20"/>
          <w:szCs w:val="20"/>
          <w:color w:val="auto"/>
        </w:rPr>
      </w:pPr>
    </w:p>
    <w:p>
      <w:pPr>
        <w:ind w:left="120" w:firstLine="771"/>
        <w:spacing w:after="0" w:line="228" w:lineRule="auto"/>
        <w:rPr>
          <w:sz w:val="20"/>
          <w:szCs w:val="20"/>
          <w:color w:val="auto"/>
        </w:rPr>
      </w:pPr>
      <w:r>
        <w:rPr>
          <w:rFonts w:ascii="Arial" w:cs="Arial" w:eastAsia="Arial" w:hAnsi="Arial"/>
          <w:sz w:val="20"/>
          <w:szCs w:val="20"/>
          <w:color w:val="auto"/>
        </w:rPr>
        <w:t>Notwithstanding the similarities of our peer group companies to Alnylam, due to the nature of our business, we compete for executive talent with many companies that are larger and more established than we are or that possess greater resources than we do. Because we need to retain significant clinical expertise and because our corporate headquarters is located in a geographic region that is highly competitive for talent, we also compete with prestigious academic and non-profit institutions. In addition, our PC&amp;C committee uses competitive compensation data from the annual compensation study of peer companies to inform its decisions about overall compensation opportunities and specific compensation elements. Additionally, the PC&amp;C committee uses multiple reference points when establishing targeted compensation levels. The PC&amp;C committee does not make decisions based solely on benchmarking for specific compensation elements or total compensation and does not fix compensation to any specific percentile relative to the peer companies or the broader market. Instead, the committee applies judgment and discretion in establishing targeted pay levels, taking into account not only competitive market data, but also factors such as experience level of the executive, scope of responsibility, critical needs and skill sets, leadership potential and succession planning, individual performance, and contributions to the achievement of long-term strategic objectives. In keeping with our pay-for-performance philosophy, actual compensation levels are correlated to the achievement of corporate goals and individual performance against those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4"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Other Key Performance Factors and Industry Specific Considerations</w:t>
      </w:r>
    </w:p>
    <w:p>
      <w:pPr>
        <w:spacing w:after="0" w:line="202" w:lineRule="exact"/>
        <w:rPr>
          <w:sz w:val="20"/>
          <w:szCs w:val="20"/>
          <w:color w:val="auto"/>
        </w:rPr>
      </w:pPr>
    </w:p>
    <w:p>
      <w:pPr>
        <w:ind w:left="120" w:right="320" w:firstLine="771"/>
        <w:spacing w:after="0" w:line="246" w:lineRule="auto"/>
        <w:rPr>
          <w:sz w:val="20"/>
          <w:szCs w:val="20"/>
          <w:color w:val="auto"/>
        </w:rPr>
      </w:pPr>
      <w:r>
        <w:rPr>
          <w:rFonts w:ascii="Arial" w:cs="Arial" w:eastAsia="Arial" w:hAnsi="Arial"/>
          <w:sz w:val="19"/>
          <w:szCs w:val="19"/>
          <w:color w:val="auto"/>
        </w:rPr>
        <w:t>The biopharmaceutical industry is characterized by a very long product development cycle, including a lengthy research and development period and a rigorous approval phase involving human testing and governmental regulatory approval. While we became a commercial-stage company in 2018 and have independently launched four products to date, we have not yet achieved profitability and therefore, several of the traditional benchmarking metrics, such as earnings per share, remain inappropriate measures for us as we move towards our goal of financial self-sustainability. Accordingly, the specific performance factors our PC&amp;C committee considers when determining the compensation of our NEOs include:</w:t>
      </w:r>
    </w:p>
    <w:p>
      <w:pPr>
        <w:spacing w:after="0" w:line="195" w:lineRule="exact"/>
        <w:rPr>
          <w:sz w:val="20"/>
          <w:szCs w:val="20"/>
          <w:color w:val="auto"/>
        </w:rPr>
      </w:pPr>
    </w:p>
    <w:p>
      <w:pPr>
        <w:ind w:left="1320" w:right="800" w:hanging="435"/>
        <w:spacing w:after="0" w:line="234" w:lineRule="auto"/>
        <w:tabs>
          <w:tab w:leader="none" w:pos="13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key research and development achievements, including advances in RNAi delivery and technology and identification of new therapeutic areas and novel disease targets;</w:t>
      </w:r>
    </w:p>
    <w:p>
      <w:pPr>
        <w:spacing w:after="0" w:line="1" w:lineRule="exact"/>
        <w:rPr>
          <w:rFonts w:ascii="Arial" w:cs="Arial" w:eastAsia="Arial" w:hAnsi="Arial"/>
          <w:sz w:val="20"/>
          <w:szCs w:val="20"/>
          <w:color w:val="auto"/>
        </w:rPr>
      </w:pPr>
    </w:p>
    <w:p>
      <w:pPr>
        <w:ind w:left="1320" w:hanging="435"/>
        <w:spacing w:after="0" w:line="225" w:lineRule="auto"/>
        <w:tabs>
          <w:tab w:leader="none" w:pos="13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initiation and progress of clinical trials, in particular late-stage programs;</w:t>
      </w:r>
    </w:p>
    <w:p>
      <w:pPr>
        <w:ind w:left="1320" w:right="920" w:hanging="435"/>
        <w:spacing w:after="0" w:line="225" w:lineRule="auto"/>
        <w:tabs>
          <w:tab w:leader="none" w:pos="13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achievement of regulatory milestones, including regulatory filings for product approvals and regulatory approvals;</w:t>
      </w:r>
    </w:p>
    <w:p>
      <w:pPr>
        <w:ind w:left="1320" w:right="420" w:hanging="435"/>
        <w:spacing w:after="0" w:line="225" w:lineRule="auto"/>
        <w:tabs>
          <w:tab w:leader="none" w:pos="13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establishment of global commercial and medical infrastructure and commercial launch readiness, as well as patient and physician education initiatives;</w:t>
      </w:r>
    </w:p>
    <w:p>
      <w:pPr>
        <w:ind w:left="1320" w:right="260" w:hanging="435"/>
        <w:spacing w:after="0" w:line="225" w:lineRule="auto"/>
        <w:tabs>
          <w:tab w:leader="none" w:pos="13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revenue results, as well as other key metrics, including progress on pricing and reimbursement efforts, for our recently launched products;</w:t>
      </w:r>
    </w:p>
    <w:p>
      <w:pPr>
        <w:ind w:left="1320" w:hanging="435"/>
        <w:spacing w:after="0" w:line="225" w:lineRule="auto"/>
        <w:tabs>
          <w:tab w:leader="none" w:pos="13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establishment and maintenance of key strategic relationships and new business initiatives;</w:t>
      </w:r>
    </w:p>
    <w:p>
      <w:pPr>
        <w:ind w:left="1320" w:hanging="435"/>
        <w:spacing w:after="0" w:line="225" w:lineRule="auto"/>
        <w:tabs>
          <w:tab w:leader="none" w:pos="13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filing, prosecution, defense and enforcement of key intellectual property rights;</w:t>
      </w:r>
    </w:p>
    <w:p>
      <w:pPr>
        <w:jc w:val="both"/>
        <w:ind w:left="1320" w:right="40" w:hanging="435"/>
        <w:spacing w:after="0" w:line="225" w:lineRule="auto"/>
        <w:tabs>
          <w:tab w:leader="none" w:pos="13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success in our human capital management strategy, including development of global organizational capabilities, success in hiring, employee retention, growth management and diversity, equity and inclusion initiatives, in each case executed with excellence, patient focus, safety, quality and compliance; and</w:t>
      </w:r>
    </w:p>
    <w:p>
      <w:pPr>
        <w:spacing w:after="0" w:line="1" w:lineRule="exact"/>
        <w:rPr>
          <w:rFonts w:ascii="Arial" w:cs="Arial" w:eastAsia="Arial" w:hAnsi="Arial"/>
          <w:sz w:val="20"/>
          <w:szCs w:val="20"/>
          <w:color w:val="auto"/>
        </w:rPr>
      </w:pPr>
    </w:p>
    <w:p>
      <w:pPr>
        <w:ind w:left="1320" w:hanging="435"/>
        <w:spacing w:after="0"/>
        <w:tabs>
          <w:tab w:leader="none" w:pos="13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financial and operating performance.</w:t>
      </w:r>
    </w:p>
    <w:p>
      <w:pPr>
        <w:spacing w:after="0" w:line="184" w:lineRule="exact"/>
        <w:rPr>
          <w:sz w:val="20"/>
          <w:szCs w:val="20"/>
          <w:color w:val="auto"/>
        </w:rPr>
      </w:pPr>
    </w:p>
    <w:p>
      <w:pPr>
        <w:ind w:left="120" w:right="560" w:firstLine="771"/>
        <w:spacing w:after="0" w:line="284" w:lineRule="auto"/>
        <w:rPr>
          <w:sz w:val="20"/>
          <w:szCs w:val="20"/>
          <w:color w:val="auto"/>
        </w:rPr>
      </w:pPr>
      <w:r>
        <w:rPr>
          <w:rFonts w:ascii="Arial" w:cs="Arial" w:eastAsia="Arial" w:hAnsi="Arial"/>
          <w:sz w:val="19"/>
          <w:szCs w:val="19"/>
          <w:color w:val="auto"/>
        </w:rPr>
        <w:t>These performance factors are considered by our PC&amp;C committee in connection with our annual performance reviews and are a critical component in the determination of base salary and equity incentive awards for our NEOs.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Compensation Risk Oversight</w:t>
      </w:r>
    </w:p>
    <w:p>
      <w:pPr>
        <w:spacing w:after="0" w:line="204" w:lineRule="exact"/>
        <w:rPr>
          <w:sz w:val="20"/>
          <w:szCs w:val="20"/>
          <w:color w:val="auto"/>
        </w:rPr>
      </w:pPr>
    </w:p>
    <w:p>
      <w:pPr>
        <w:ind w:left="120" w:right="60" w:firstLine="771"/>
        <w:spacing w:after="0" w:line="246" w:lineRule="auto"/>
        <w:rPr>
          <w:sz w:val="20"/>
          <w:szCs w:val="20"/>
          <w:color w:val="auto"/>
        </w:rPr>
      </w:pPr>
      <w:r>
        <w:rPr>
          <w:rFonts w:ascii="Arial" w:cs="Arial" w:eastAsia="Arial" w:hAnsi="Arial"/>
          <w:sz w:val="19"/>
          <w:szCs w:val="19"/>
          <w:color w:val="auto"/>
        </w:rPr>
        <w:t>We structure our compensation programs with both fixed and variable pay to motivate our NEOs to produce superior short- and long-term results that are in the best interests of our company and stockholders and to attain our ultimate objective of building stockholder value. In addition, we have established, and the PC&amp;C committee endorses, several controls to address and mitigate compensation-related risk, such as maintaining an anti-hedging and anti-pledging policy, stock ownership guidelines, good standing requirements under our AIP for eligibility to receive an award, and a clawback policy to recover incentive-based compensation in the event of a restatement of a previously issued financial statement.</w:t>
      </w:r>
    </w:p>
    <w:p>
      <w:pPr>
        <w:spacing w:after="0" w:line="168" w:lineRule="exact"/>
        <w:rPr>
          <w:sz w:val="20"/>
          <w:szCs w:val="20"/>
          <w:color w:val="auto"/>
        </w:rPr>
      </w:pPr>
    </w:p>
    <w:p>
      <w:pPr>
        <w:ind w:left="120" w:right="40" w:firstLine="771"/>
        <w:spacing w:after="0" w:line="237" w:lineRule="auto"/>
        <w:rPr>
          <w:sz w:val="20"/>
          <w:szCs w:val="20"/>
          <w:color w:val="auto"/>
        </w:rPr>
      </w:pPr>
      <w:r>
        <w:rPr>
          <w:rFonts w:ascii="Arial" w:cs="Arial" w:eastAsia="Arial" w:hAnsi="Arial"/>
          <w:sz w:val="20"/>
          <w:szCs w:val="20"/>
          <w:color w:val="auto"/>
        </w:rPr>
        <w:t>The PC&amp;C committee’s compensation consultant assisted the PC&amp;C committee in evaluating our policies and practices to determine if they create excessive risk in our compensation programs. This evaluation included an assessment of the potential risks associated with field-based incentive compensation and commercial-related goals and targets in our incentive compensation plans,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140"/>
        <w:spacing w:after="0" w:line="231" w:lineRule="auto"/>
        <w:rPr>
          <w:sz w:val="20"/>
          <w:szCs w:val="20"/>
          <w:color w:val="auto"/>
        </w:rPr>
      </w:pPr>
      <w:r>
        <w:rPr>
          <w:rFonts w:ascii="Arial" w:cs="Arial" w:eastAsia="Arial" w:hAnsi="Arial"/>
          <w:sz w:val="20"/>
          <w:szCs w:val="20"/>
          <w:color w:val="auto"/>
        </w:rPr>
        <w:t>as our other compensation policies and practices. In conducting its independent assessment, the compensation consultant reviewed our incentive compensation and other programs and determined there were no compensation policies or practices that encourage excessive or inappropriate risk-taking. The compensation consultant discussed the detailed findings of this review with management, and management and the compensation consultant discussed the results of the review with the PC&amp;C committee. Following its review, the PC&amp;C committee concluded that our compensation policies and practices are not reasonably likely to have a material adverse effect on the company. The PC&amp;C committee will continue to evaluate on an annual basis the potential risks associated with our compensation policies and practices with input from its compensation consultant and internal and external counsel.</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Employment Arrangements</w:t>
      </w:r>
    </w:p>
    <w:p>
      <w:pPr>
        <w:spacing w:after="0" w:line="204" w:lineRule="exact"/>
        <w:rPr>
          <w:sz w:val="20"/>
          <w:szCs w:val="20"/>
          <w:color w:val="auto"/>
        </w:rPr>
      </w:pPr>
    </w:p>
    <w:p>
      <w:pPr>
        <w:ind w:left="120" w:right="20" w:firstLine="771"/>
        <w:spacing w:after="0" w:line="234" w:lineRule="auto"/>
        <w:rPr>
          <w:sz w:val="20"/>
          <w:szCs w:val="20"/>
          <w:color w:val="auto"/>
        </w:rPr>
      </w:pPr>
      <w:r>
        <w:rPr>
          <w:rFonts w:ascii="Arial" w:cs="Arial" w:eastAsia="Arial" w:hAnsi="Arial"/>
          <w:sz w:val="20"/>
          <w:szCs w:val="20"/>
          <w:color w:val="auto"/>
        </w:rPr>
        <w:t>Our executive officers are at-will employees and do not have employment agreements, with the exception of our CEO, Dr. Greenstreet. Each executive officer has signed a nondisclosure, non-competition and assignment of intellectual property agreement providing for the protection of our confidential information and ownership of intellectual property developed by such executive officer and a covenant not to compete with us for a period of at least 12 months after termination of employment.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1D3060"/>
        </w:rPr>
        <w:t>Greenstreet Employment Agreement</w:t>
      </w:r>
    </w:p>
    <w:p>
      <w:pPr>
        <w:spacing w:after="0" w:line="202" w:lineRule="exact"/>
        <w:rPr>
          <w:sz w:val="20"/>
          <w:szCs w:val="20"/>
          <w:color w:val="auto"/>
        </w:rPr>
      </w:pPr>
    </w:p>
    <w:p>
      <w:pPr>
        <w:ind w:left="120" w:right="20" w:firstLine="771"/>
        <w:spacing w:after="0" w:line="230" w:lineRule="auto"/>
        <w:rPr>
          <w:sz w:val="20"/>
          <w:szCs w:val="20"/>
          <w:color w:val="auto"/>
        </w:rPr>
      </w:pPr>
      <w:r>
        <w:rPr>
          <w:rFonts w:ascii="Arial" w:cs="Arial" w:eastAsia="Arial" w:hAnsi="Arial"/>
          <w:sz w:val="20"/>
          <w:szCs w:val="20"/>
          <w:color w:val="auto"/>
        </w:rPr>
        <w:t>Dr. Greenstreet entered into a written employment agreement with us upon her appointment as our CEO, which we refer to as the Greenstreet Employment Agreement. Following an initial two-year term, the Greenstreet Employment Agreement automatically renews for successive one-year periods unless 90 days prior written notice of termination is given by either party (neither party provided such notice prior to commencement of such 90-day period in 2023). The Greenstreet Employment Agreement set Dr. Greenstreet’s initial annual base salary, which is subject to increase in the discretion of the board. The Greenstreet Employment Agreement also entitles Dr. Greenstreet to a target AIP award, subject to achievement of the company’s annual corporate goals, as determined by the PC&amp;C committee and the board. Under the Greenstreet Employment Agreement, Dr. Greenstreet received initial stock-based awards and is eligible to participate in our long-term incentive programs on the same basis as our other executive officers. She is also eligible to participate in our employee benefit programs on a basis no less favorable than applicable to our other executive officers.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Other Agreements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1D3060"/>
        </w:rPr>
        <w:t>Vaishnaw Letter Agreement</w:t>
      </w:r>
    </w:p>
    <w:p>
      <w:pPr>
        <w:spacing w:after="0" w:line="202" w:lineRule="exact"/>
        <w:rPr>
          <w:sz w:val="20"/>
          <w:szCs w:val="20"/>
          <w:color w:val="auto"/>
        </w:rPr>
      </w:pPr>
    </w:p>
    <w:p>
      <w:pPr>
        <w:ind w:left="120" w:right="40" w:firstLine="771"/>
        <w:spacing w:after="0" w:line="243" w:lineRule="auto"/>
        <w:rPr>
          <w:sz w:val="20"/>
          <w:szCs w:val="20"/>
          <w:color w:val="auto"/>
        </w:rPr>
      </w:pPr>
      <w:r>
        <w:rPr>
          <w:rFonts w:ascii="Arial" w:cs="Arial" w:eastAsia="Arial" w:hAnsi="Arial"/>
          <w:sz w:val="19"/>
          <w:szCs w:val="19"/>
          <w:color w:val="auto"/>
        </w:rPr>
        <w:t>In July 2023, we entered into a letter agreement with Dr. Vaishnaw, under which Dr. Vaishnaw agreed to transition from our President to a part-time role as our Chief Innovation Officer, effective October 2, 2023. In his role as Chief Innovation Officer, Dr. Vaishnaw is eligible to receive an annual base salary of $377,000 and has a target bonus opportunity equal to</w:t>
      </w:r>
    </w:p>
    <w:p>
      <w:pPr>
        <w:spacing w:after="0" w:line="2" w:lineRule="exact"/>
        <w:rPr>
          <w:sz w:val="20"/>
          <w:szCs w:val="20"/>
          <w:color w:val="auto"/>
        </w:rPr>
      </w:pPr>
    </w:p>
    <w:p>
      <w:pPr>
        <w:ind w:left="120" w:right="380"/>
        <w:spacing w:after="0" w:line="239" w:lineRule="auto"/>
        <w:rPr>
          <w:sz w:val="20"/>
          <w:szCs w:val="20"/>
          <w:color w:val="auto"/>
        </w:rPr>
      </w:pPr>
      <w:r>
        <w:rPr>
          <w:rFonts w:ascii="Arial" w:cs="Arial" w:eastAsia="Arial" w:hAnsi="Arial"/>
          <w:sz w:val="20"/>
          <w:szCs w:val="20"/>
          <w:color w:val="auto"/>
        </w:rPr>
        <w:t>65% of his base salary. In connection with the transition, effective as of October 2, 2023, Dr. Vaishnaw ceased to serve as one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140" w:firstLine="771"/>
        <w:spacing w:after="0" w:line="247" w:lineRule="auto"/>
        <w:rPr>
          <w:sz w:val="20"/>
          <w:szCs w:val="20"/>
          <w:color w:val="auto"/>
        </w:rPr>
      </w:pPr>
      <w:r>
        <w:rPr>
          <w:rFonts w:ascii="Arial" w:cs="Arial" w:eastAsia="Arial" w:hAnsi="Arial"/>
          <w:sz w:val="19"/>
          <w:szCs w:val="19"/>
          <w:color w:val="auto"/>
        </w:rPr>
        <w:t>If we terminate Dr. Vaishnaw’s employment other than for Cause and provided that he is not eligible for benefits and payments under his change in control agreement, we will pay to him (a) $754,000 in salary continuation payments over a</w:t>
      </w:r>
    </w:p>
    <w:p>
      <w:pPr>
        <w:ind w:left="120" w:right="240"/>
        <w:spacing w:after="0" w:line="230" w:lineRule="auto"/>
        <w:rPr>
          <w:sz w:val="20"/>
          <w:szCs w:val="20"/>
          <w:color w:val="auto"/>
        </w:rPr>
      </w:pPr>
      <w:r>
        <w:rPr>
          <w:rFonts w:ascii="Arial" w:cs="Arial" w:eastAsia="Arial" w:hAnsi="Arial"/>
          <w:sz w:val="20"/>
          <w:szCs w:val="20"/>
          <w:color w:val="auto"/>
        </w:rPr>
        <w:t>12-month period; (b) a lump sum AIP award pro rated based on (i) $490,100 and (ii) the number of days he was employed during the year of termination of his employment; (c) his then outstanding unvested equity awards will continue to vest in accordance with their terms until the first anniversary of the termination of his employment and (d) his outstanding stock options that are then-exercisable or become exercisable between his termination date and the one-year anniversary of his termination date shall remain exercisable until the earlier of the end of such one-year period and the original expiration date applicable to such options.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Franchini Letter Agreement</w:t>
      </w:r>
    </w:p>
    <w:p>
      <w:pPr>
        <w:spacing w:after="0" w:line="202" w:lineRule="exact"/>
        <w:rPr>
          <w:sz w:val="20"/>
          <w:szCs w:val="20"/>
          <w:color w:val="auto"/>
        </w:rPr>
      </w:pPr>
    </w:p>
    <w:p>
      <w:pPr>
        <w:ind w:left="120" w:right="40" w:firstLine="771"/>
        <w:spacing w:after="0" w:line="230" w:lineRule="auto"/>
        <w:rPr>
          <w:sz w:val="20"/>
          <w:szCs w:val="20"/>
          <w:color w:val="auto"/>
        </w:rPr>
      </w:pPr>
      <w:r>
        <w:rPr>
          <w:rFonts w:ascii="Arial" w:cs="Arial" w:eastAsia="Arial" w:hAnsi="Arial"/>
          <w:sz w:val="20"/>
          <w:szCs w:val="20"/>
          <w:color w:val="auto"/>
        </w:rPr>
        <w:t>In January 2024, the company determined (termination without cause) that Ms. Franchini would leave her position as Executive Vice President, Chief Legal Officer and Secretary effective as of March 1, 2024. In connection with her termination of employment, we entered into a letter agreement with Ms. Franchini that provides severance benefits that are consistent with severance benefits that we have provided to similarly-situated executive officers. Pursuant to the terms of the letter agreement, Ms. Franchini will receive: (i) severance payments equal to twelve months of her base salary in effect as of the separation date, payable in biweekly installments, in the total amount of $597,000, (ii) a lump sum payment of $344,768 in lieu of her 2023 AIP award, (iii) employer contributions towards premiums for healthcare insurance coverage for up to 12 months following the separation date, to the extent Ms. Franchini is eligible for and elects to continue her health coverage under COBRA, (iv) outplacement services and (v) reimbursement for up to $15,000 of legal fees.</w:t>
      </w:r>
    </w:p>
    <w:p>
      <w:pPr>
        <w:spacing w:after="0" w:line="176" w:lineRule="exact"/>
        <w:rPr>
          <w:sz w:val="20"/>
          <w:szCs w:val="20"/>
          <w:color w:val="auto"/>
        </w:rPr>
      </w:pPr>
    </w:p>
    <w:p>
      <w:pPr>
        <w:ind w:left="120" w:right="100" w:firstLine="771"/>
        <w:spacing w:after="0" w:line="233" w:lineRule="auto"/>
        <w:rPr>
          <w:sz w:val="20"/>
          <w:szCs w:val="20"/>
          <w:color w:val="auto"/>
        </w:rPr>
      </w:pPr>
      <w:r>
        <w:rPr>
          <w:rFonts w:ascii="Arial" w:cs="Arial" w:eastAsia="Arial" w:hAnsi="Arial"/>
          <w:sz w:val="20"/>
          <w:szCs w:val="20"/>
          <w:color w:val="auto"/>
        </w:rPr>
        <w:t>The letter agreement also provides that Ms. Franchini will provide consulting and advisory services to us for up to 10 hours per month, on an as-needed basis, for a one-year period from the separation date, or the consulting period. During the consulting period, Ms. Franchini’s outstanding unvested equity awards will continue to vest in accordance with their terms, and any outstanding stock options shall remain exercisable for three months after the end of the consulting period. In the event of a CIC during the consulting period that results in the acceleration of vesting of unvested equity awards for our active employees, Ms. Franchini’s outstanding equity awards will be treated in the same manner.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Potential Payments Upon Termination or Change-in-Control</w:t>
      </w:r>
    </w:p>
    <w:p>
      <w:pPr>
        <w:spacing w:after="0" w:line="204" w:lineRule="exact"/>
        <w:rPr>
          <w:sz w:val="20"/>
          <w:szCs w:val="20"/>
          <w:color w:val="auto"/>
        </w:rPr>
      </w:pPr>
    </w:p>
    <w:p>
      <w:pPr>
        <w:ind w:left="120" w:right="20" w:firstLine="551"/>
        <w:spacing w:after="0" w:line="232" w:lineRule="auto"/>
        <w:rPr>
          <w:sz w:val="20"/>
          <w:szCs w:val="20"/>
          <w:color w:val="auto"/>
        </w:rPr>
      </w:pPr>
      <w:r>
        <w:rPr>
          <w:rFonts w:ascii="Arial" w:cs="Arial" w:eastAsia="Arial" w:hAnsi="Arial"/>
          <w:sz w:val="20"/>
          <w:szCs w:val="20"/>
          <w:color w:val="auto"/>
        </w:rPr>
        <w:t>Certain executives, including our NEOs, may be entitled to severance and/or change in control protections pursuant to her employment agreement, in the case of Dr. Greenstreet, or change in control agreement, or CIC agreement, in the case of each of our other NEOs, the terms of which are described below under Executive Compensation—Potential Payments upon Termination or Change-in-Control. We provide these severance and change in control arrangements because we believe that, in a competitive market for talent, severance arrangements are necessary to attract and retain high quality executives. In addition, the change in control benefit allows and incentivizes executives to maintain their focus on our business during a period when they otherwise might be distracted.</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Greenstreet Employment Agreement</w:t>
      </w:r>
    </w:p>
    <w:p>
      <w:pPr>
        <w:spacing w:after="0" w:line="202" w:lineRule="exact"/>
        <w:rPr>
          <w:sz w:val="20"/>
          <w:szCs w:val="20"/>
          <w:color w:val="auto"/>
        </w:rPr>
      </w:pPr>
    </w:p>
    <w:p>
      <w:pPr>
        <w:ind w:left="120" w:right="40" w:firstLine="771"/>
        <w:spacing w:after="0" w:line="241" w:lineRule="auto"/>
        <w:rPr>
          <w:sz w:val="20"/>
          <w:szCs w:val="20"/>
          <w:color w:val="auto"/>
        </w:rPr>
      </w:pPr>
      <w:r>
        <w:rPr>
          <w:rFonts w:ascii="Arial" w:cs="Arial" w:eastAsia="Arial" w:hAnsi="Arial"/>
          <w:sz w:val="20"/>
          <w:szCs w:val="20"/>
          <w:color w:val="auto"/>
        </w:rPr>
        <w:t>Under the Greenstreet Employment Agreement, if Dr. Greenstreet’s employment is terminated by the company without Cause or by Dr. Greenstreet for Good Reason, as such terms are defined in the Greenstreet Employment Agreement, prior to a CIC, she will not receive any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140"/>
        <w:spacing w:after="0" w:line="234" w:lineRule="auto"/>
        <w:rPr>
          <w:sz w:val="20"/>
          <w:szCs w:val="20"/>
          <w:color w:val="auto"/>
        </w:rPr>
      </w:pPr>
      <w:r>
        <w:rPr>
          <w:rFonts w:ascii="Arial" w:cs="Arial" w:eastAsia="Arial" w:hAnsi="Arial"/>
          <w:sz w:val="20"/>
          <w:szCs w:val="20"/>
          <w:color w:val="auto"/>
        </w:rPr>
        <w:t>severance, her outstanding unvested equity awards will continue to vest until the second anniversary of the termination date, and her outstanding stock options shall remain exercisable until the earlier of the second anniversary of the termination date and the original expiration dates of such options; provided that in the event that a CIC occurs on or before the second anniversary of the termination date, her then-outstanding stock options will be treated in the same manner as the then-outstanding stock options held by continuing members of the company’s executive leadership team.</w:t>
      </w:r>
    </w:p>
    <w:p>
      <w:pPr>
        <w:spacing w:after="0" w:line="175" w:lineRule="exact"/>
        <w:rPr>
          <w:sz w:val="20"/>
          <w:szCs w:val="20"/>
          <w:color w:val="auto"/>
        </w:rPr>
      </w:pPr>
    </w:p>
    <w:p>
      <w:pPr>
        <w:ind w:left="120" w:right="20" w:firstLine="771"/>
        <w:spacing w:after="0" w:line="230" w:lineRule="auto"/>
        <w:rPr>
          <w:sz w:val="20"/>
          <w:szCs w:val="20"/>
          <w:color w:val="auto"/>
        </w:rPr>
      </w:pPr>
      <w:r>
        <w:rPr>
          <w:rFonts w:ascii="Arial" w:cs="Arial" w:eastAsia="Arial" w:hAnsi="Arial"/>
          <w:sz w:val="20"/>
          <w:szCs w:val="20"/>
          <w:color w:val="auto"/>
        </w:rPr>
        <w:t>In addition, under the Greenstreet Employment Agreement, if Dr. Greenstreet’s employment is terminated by the company without Cause or by Dr. Greenstreet for Good Reason within 18 months following a CIC, she will be entitled to receive (i) a lump sum cash payment equal to two times the sum of: (A) her annual base salary in effect immediately prior to termination (or prior to the CIC, if higher) and (B) her target bonus for the fiscal year in which the CIC occurred; and (ii) if she was participating in our group health plan immediately prior to such termination and elects continuation coverage under COBRA, a monthly cash payment for 24 months (or the expiration of the COBRA continuation period, if earlier) equal to the monthly employer contribution we would have paid to provide the executive with health insurance if she had remained employed. In addition, following a CIC and qualifying termination of employment, all of her outstanding unvested stock options and other stock-based awards shall immediately accelerate and become fully exercisable or nonforfeitable.</w:t>
      </w:r>
    </w:p>
    <w:p>
      <w:pPr>
        <w:spacing w:after="0" w:line="176" w:lineRule="exact"/>
        <w:rPr>
          <w:sz w:val="20"/>
          <w:szCs w:val="20"/>
          <w:color w:val="auto"/>
        </w:rPr>
      </w:pPr>
    </w:p>
    <w:p>
      <w:pPr>
        <w:ind w:left="120" w:right="160" w:firstLine="771"/>
        <w:spacing w:after="0" w:line="237" w:lineRule="auto"/>
        <w:rPr>
          <w:sz w:val="20"/>
          <w:szCs w:val="20"/>
          <w:color w:val="auto"/>
        </w:rPr>
      </w:pPr>
      <w:r>
        <w:rPr>
          <w:rFonts w:ascii="Arial" w:cs="Arial" w:eastAsia="Arial" w:hAnsi="Arial"/>
          <w:sz w:val="20"/>
          <w:szCs w:val="20"/>
          <w:color w:val="auto"/>
        </w:rPr>
        <w:t>If any payment and benefits to be paid or provided to Dr. Greenstreet, whether pursuant to the terms of her employment agreement or otherwise, would be subject to “golden parachute” excise taxes under the Internal Revenue Code of 1986, as amended, or the Code, the payments and benefits will be reduced to the extent necessary to avoid such excise taxes, but only if such a reduction of pay or benefits would result in a greater after-tax benefit to her.</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Change in Control Agreements</w:t>
      </w:r>
    </w:p>
    <w:p>
      <w:pPr>
        <w:spacing w:after="0" w:line="202" w:lineRule="exact"/>
        <w:rPr>
          <w:sz w:val="20"/>
          <w:szCs w:val="20"/>
          <w:color w:val="auto"/>
        </w:rPr>
      </w:pPr>
    </w:p>
    <w:p>
      <w:pPr>
        <w:ind w:left="120" w:right="140" w:firstLine="771"/>
        <w:spacing w:after="0" w:line="241" w:lineRule="auto"/>
        <w:rPr>
          <w:sz w:val="20"/>
          <w:szCs w:val="20"/>
          <w:color w:val="auto"/>
        </w:rPr>
      </w:pPr>
      <w:r>
        <w:rPr>
          <w:rFonts w:ascii="Arial" w:cs="Arial" w:eastAsia="Arial" w:hAnsi="Arial"/>
          <w:sz w:val="19"/>
          <w:szCs w:val="19"/>
          <w:color w:val="auto"/>
        </w:rPr>
        <w:t>We have entered into an individual CIC agreement with each of our executive officers, including all NEOs, with the exception of our CEO. The CIC agreements entitle each executive officer to certain benefits in the event of certain terminations of employment within 12 months following a CIC. Pursuant to each CIC agreement, if an executive officer is terminated by us without Cause (as defined in the CIC agreement) or if an executive officer terminates employment for Good Reason (as defined in the CIC agreement), in either case, within 12 months following a CIC, such executive officer will be entitled to receive (i) a lump sum cash payment equal to one and a half times the sum of: (A) such executive officer’s annual base salary in effect immediately prior to termination (or prior to the CIC, if higher) and (B) such executive officer’s target bonus for the fiscal year in which the CIC occurred; and (ii) if the executive officer was participating in our group health plan immediately prior to such termination and elects continuation coverage under COBRA, a monthly cash payment for 18 months (or the expiration of the COBRA continuation period, if earlier) equal to the monthly employer contribution we would have paid to provide the executive with health insurance if such executive officer remained employed. In addition, following a CIC and qualifying termination of employment, all of an executive officer’s outstanding unvested stock options and other stock-based awards shall immediately accelerate and become fully exercisable or nonforfeitable.</w:t>
      </w:r>
    </w:p>
    <w:p>
      <w:pPr>
        <w:spacing w:after="0" w:line="172" w:lineRule="exact"/>
        <w:rPr>
          <w:sz w:val="20"/>
          <w:szCs w:val="20"/>
          <w:color w:val="auto"/>
        </w:rPr>
      </w:pPr>
    </w:p>
    <w:p>
      <w:pPr>
        <w:jc w:val="both"/>
        <w:ind w:left="120" w:right="260" w:firstLine="771"/>
        <w:spacing w:after="0" w:line="241" w:lineRule="auto"/>
        <w:rPr>
          <w:sz w:val="20"/>
          <w:szCs w:val="20"/>
          <w:color w:val="auto"/>
        </w:rPr>
      </w:pPr>
      <w:r>
        <w:rPr>
          <w:rFonts w:ascii="Arial" w:cs="Arial" w:eastAsia="Arial" w:hAnsi="Arial"/>
          <w:sz w:val="20"/>
          <w:szCs w:val="20"/>
          <w:color w:val="auto"/>
        </w:rPr>
        <w:t>If any payment and benefits to be paid or provided to an executive officer, whether pursuant to the terms of a CIC Agreement, employment agreement or otherwise, would be subject to “golden parachute” excise taxes under the Code, the payments and benefits will be reduced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120"/>
        <w:spacing w:after="0" w:line="257" w:lineRule="auto"/>
        <w:rPr>
          <w:sz w:val="20"/>
          <w:szCs w:val="20"/>
          <w:color w:val="auto"/>
        </w:rPr>
      </w:pPr>
      <w:r>
        <w:rPr>
          <w:rFonts w:ascii="Arial" w:cs="Arial" w:eastAsia="Arial" w:hAnsi="Arial"/>
          <w:sz w:val="20"/>
          <w:szCs w:val="20"/>
          <w:color w:val="auto"/>
        </w:rPr>
        <w:t>necessary to avoid such excise taxes, but only if such a reduction of pay or benefits would result in a greater after-tax benefit to the executive.</w:t>
      </w:r>
    </w:p>
    <w:p>
      <w:pPr>
        <w:spacing w:after="0" w:line="155" w:lineRule="exact"/>
        <w:rPr>
          <w:sz w:val="20"/>
          <w:szCs w:val="20"/>
          <w:color w:val="auto"/>
        </w:rPr>
      </w:pPr>
    </w:p>
    <w:p>
      <w:pPr>
        <w:jc w:val="both"/>
        <w:ind w:left="120" w:right="40" w:firstLine="771"/>
        <w:spacing w:after="0" w:line="241" w:lineRule="auto"/>
        <w:rPr>
          <w:sz w:val="20"/>
          <w:szCs w:val="20"/>
          <w:color w:val="auto"/>
        </w:rPr>
      </w:pPr>
      <w:r>
        <w:rPr>
          <w:rFonts w:ascii="Arial" w:cs="Arial" w:eastAsia="Arial" w:hAnsi="Arial"/>
          <w:sz w:val="20"/>
          <w:szCs w:val="20"/>
          <w:color w:val="auto"/>
        </w:rPr>
        <w:t>Each CIC Agreement will terminate upon the earlier of (i) an executive officer’s termination of employment with us for any reason prior to a CIC, (ii) an executive officer’s termination of employment with us after a CIC for Cause or without Good Reason or (iii) the date that is 12 months after a CIC, if the executive officer is still employed by the company.</w:t>
      </w:r>
    </w:p>
    <w:p>
      <w:pPr>
        <w:spacing w:after="0" w:line="171" w:lineRule="exact"/>
        <w:rPr>
          <w:sz w:val="20"/>
          <w:szCs w:val="20"/>
          <w:color w:val="auto"/>
        </w:rPr>
      </w:pPr>
    </w:p>
    <w:p>
      <w:pPr>
        <w:ind w:left="120" w:right="740" w:firstLine="771"/>
        <w:spacing w:after="0" w:line="257" w:lineRule="auto"/>
        <w:rPr>
          <w:sz w:val="20"/>
          <w:szCs w:val="20"/>
          <w:color w:val="auto"/>
        </w:rPr>
      </w:pPr>
      <w:r>
        <w:rPr>
          <w:rFonts w:ascii="Arial" w:cs="Arial" w:eastAsia="Arial" w:hAnsi="Arial"/>
          <w:sz w:val="20"/>
          <w:szCs w:val="20"/>
          <w:color w:val="auto"/>
        </w:rPr>
        <w:t>There are no other agreements with our NEOs that provide for separation pay in the event of a termination of employment.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Stock Ownership Guidelines</w:t>
      </w:r>
    </w:p>
    <w:p>
      <w:pPr>
        <w:spacing w:after="0" w:line="204" w:lineRule="exact"/>
        <w:rPr>
          <w:sz w:val="20"/>
          <w:szCs w:val="20"/>
          <w:color w:val="auto"/>
        </w:rPr>
      </w:pPr>
    </w:p>
    <w:p>
      <w:pPr>
        <w:ind w:left="120" w:right="100" w:firstLine="771"/>
        <w:spacing w:after="0" w:line="229" w:lineRule="auto"/>
        <w:rPr>
          <w:sz w:val="20"/>
          <w:szCs w:val="20"/>
          <w:color w:val="auto"/>
        </w:rPr>
      </w:pPr>
      <w:r>
        <w:rPr>
          <w:rFonts w:ascii="Arial" w:cs="Arial" w:eastAsia="Arial" w:hAnsi="Arial"/>
          <w:sz w:val="20"/>
          <w:szCs w:val="20"/>
          <w:color w:val="auto"/>
        </w:rPr>
        <w:t>Based on stockholder feedback, the PC&amp;C committee evaluated our stock ownership guidelines, in particular the forms of equity that count towards satisfaction of the guidelines, to determine if any changes were warranted. With the assistance of its compensation consultant, the PC&amp;C committee reviewed our stock ownership guidelines against prevalent peer practice, specifically considering stockholder commentary and guidelines established by proxy advisory services. Based on that review, the PC&amp;C committee eliminated the counting of unvested PSUs for purposes of determining whether a NEO has satisfied the applicable ownership guideline. The PC&amp;C Committee also increased the ownership guideline for our non-executive directors from three times to five times the amount of the annual cash retainer. The PC&amp;C committee also considered eliminating the counting of vested but unexercised, in-the-money stock options for purposes of determining the satisfaction of applicable ownership guidelines level but determined not to take action at this time because we have historically only awarded stock options to our non-executive directors as part of their compensation packages whereas we issue PSUs, RSUs and stock options to our NEOs. The PC&amp;C committee will review our stock ownership guidelines periodically and adopt changes as appropriate.</w:t>
      </w:r>
    </w:p>
    <w:p>
      <w:pPr>
        <w:spacing w:after="0" w:line="175" w:lineRule="exact"/>
        <w:rPr>
          <w:sz w:val="20"/>
          <w:szCs w:val="20"/>
          <w:color w:val="auto"/>
        </w:rPr>
      </w:pPr>
    </w:p>
    <w:p>
      <w:pPr>
        <w:ind w:left="120" w:right="20" w:firstLine="771"/>
        <w:spacing w:after="0" w:line="230" w:lineRule="auto"/>
        <w:rPr>
          <w:sz w:val="20"/>
          <w:szCs w:val="20"/>
          <w:color w:val="auto"/>
        </w:rPr>
      </w:pPr>
      <w:r>
        <w:rPr>
          <w:rFonts w:ascii="Arial" w:cs="Arial" w:eastAsia="Arial" w:hAnsi="Arial"/>
          <w:sz w:val="20"/>
          <w:szCs w:val="20"/>
          <w:color w:val="auto"/>
        </w:rPr>
        <w:t>Under the updated guidelines, the following forms of equity count toward satisfaction of the ownership guidelines: shares owned outright; unvested shares of restricted stock, RSUs, and deferred stock units to be settled in shares; and vested but unexercised, in-the-money stock options. In addition, under the revised guidelines, our non-executive directors are now required to hold shares of our stock with a minimum value equal to five times the amount of the annual cash retainer (i.e., $300,000). Our CEO is required to hold shares of our stock with a minimum value equal to six times her base salary, and our other NEOs are required to hold shares of our stock with a minimum value equal to three times the NEO’s base salary. All executive officers and non-executive directors have five years from the date they become subject to the guidelines to satisfy the respective ownership guideline. We review compliance with the stock ownership guidelines annually and, currently, all of our non-executive directors and NEOs are in compliance.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Anti-Hedging and Anti-Pledging Policy</w:t>
      </w:r>
    </w:p>
    <w:p>
      <w:pPr>
        <w:spacing w:after="0" w:line="204" w:lineRule="exact"/>
        <w:rPr>
          <w:sz w:val="20"/>
          <w:szCs w:val="20"/>
          <w:color w:val="auto"/>
        </w:rPr>
      </w:pPr>
    </w:p>
    <w:p>
      <w:pPr>
        <w:ind w:left="120" w:right="100" w:firstLine="771"/>
        <w:spacing w:after="0" w:line="237" w:lineRule="auto"/>
        <w:rPr>
          <w:sz w:val="20"/>
          <w:szCs w:val="20"/>
          <w:color w:val="auto"/>
        </w:rPr>
      </w:pPr>
      <w:r>
        <w:rPr>
          <w:rFonts w:ascii="Arial" w:cs="Arial" w:eastAsia="Arial" w:hAnsi="Arial"/>
          <w:sz w:val="20"/>
          <w:szCs w:val="20"/>
          <w:color w:val="auto"/>
        </w:rPr>
        <w:t>Our insider trading policy expressly prohibits all of our employees, including our NEOs, as well as our directors, from engaging in speculative transactions in our stock, including short sales, puts/calls, hedging transactions and margin accounts or pledges. Waivers of these prohibitions allowing for pre-clearance/pre-approval under certain situations are also not permitted under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Clawback Policy</w:t>
      </w:r>
    </w:p>
    <w:p>
      <w:pPr>
        <w:spacing w:after="0" w:line="204" w:lineRule="exact"/>
        <w:rPr>
          <w:sz w:val="20"/>
          <w:szCs w:val="20"/>
          <w:color w:val="auto"/>
        </w:rPr>
      </w:pPr>
    </w:p>
    <w:p>
      <w:pPr>
        <w:ind w:left="120" w:right="200" w:firstLine="771"/>
        <w:spacing w:after="0" w:line="237" w:lineRule="auto"/>
        <w:rPr>
          <w:sz w:val="20"/>
          <w:szCs w:val="20"/>
          <w:color w:val="auto"/>
        </w:rPr>
      </w:pPr>
      <w:r>
        <w:rPr>
          <w:rFonts w:ascii="Arial" w:cs="Arial" w:eastAsia="Arial" w:hAnsi="Arial"/>
          <w:sz w:val="20"/>
          <w:szCs w:val="20"/>
          <w:color w:val="auto"/>
        </w:rPr>
        <w:t>In accordance with the rules adopted by the SEC and The Nasdaq Stock Market, the PC&amp;C committee adopted a Clawback Policy, effective as of December 1, 2023. Under this policy, the company is required to recover compensation that is granted, earned or vested based wholly or in part upon the attainment of any financial reporting measure in the event that the company is required to prepare a financial restatement to correct a material error.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Role of the Compensation Consultant</w:t>
      </w:r>
    </w:p>
    <w:p>
      <w:pPr>
        <w:spacing w:after="0" w:line="204" w:lineRule="exact"/>
        <w:rPr>
          <w:sz w:val="20"/>
          <w:szCs w:val="20"/>
          <w:color w:val="auto"/>
        </w:rPr>
      </w:pPr>
    </w:p>
    <w:p>
      <w:pPr>
        <w:ind w:left="120" w:right="60" w:firstLine="771"/>
        <w:spacing w:after="0" w:line="237" w:lineRule="auto"/>
        <w:rPr>
          <w:sz w:val="20"/>
          <w:szCs w:val="20"/>
          <w:color w:val="auto"/>
        </w:rPr>
      </w:pPr>
      <w:r>
        <w:rPr>
          <w:rFonts w:ascii="Arial" w:cs="Arial" w:eastAsia="Arial" w:hAnsi="Arial"/>
          <w:sz w:val="20"/>
          <w:szCs w:val="20"/>
          <w:color w:val="auto"/>
        </w:rPr>
        <w:t>Pursuant to its charter, our PC&amp;C committee has the authority to select and retain independent advisors and counsel to assist it with carrying out its duties and responsibilities, and the company has provided appropriate funding to the PC&amp;C committee to do so. The PC&amp;C committee previously exercised this authority and engaged Pay Governance as its independent compensation consultant, effective July 2022.</w:t>
      </w:r>
    </w:p>
    <w:p>
      <w:pPr>
        <w:spacing w:after="0" w:line="172" w:lineRule="exact"/>
        <w:rPr>
          <w:sz w:val="20"/>
          <w:szCs w:val="20"/>
          <w:color w:val="auto"/>
        </w:rPr>
      </w:pPr>
    </w:p>
    <w:p>
      <w:pPr>
        <w:ind w:left="120" w:right="40" w:firstLine="771"/>
        <w:spacing w:after="0" w:line="234" w:lineRule="auto"/>
        <w:rPr>
          <w:sz w:val="20"/>
          <w:szCs w:val="20"/>
          <w:color w:val="auto"/>
        </w:rPr>
      </w:pPr>
      <w:r>
        <w:rPr>
          <w:rFonts w:ascii="Arial" w:cs="Arial" w:eastAsia="Arial" w:hAnsi="Arial"/>
          <w:sz w:val="20"/>
          <w:szCs w:val="20"/>
          <w:color w:val="auto"/>
        </w:rPr>
        <w:t>Pay Governance served as an advisor to our PC&amp;C committee on topics primarily related to our total rewards review, our incentive compensation programs (including annual and long-term incentive compensation), peer group evaluation and selection, and director and executive compensation. Pay Governance reported directly to the PC&amp;C committee chair on the matters on which it had been retained. Pay Governance did not provide any services to the company other than the services that it provided to the PC&amp;C committee.</w:t>
      </w:r>
    </w:p>
    <w:p>
      <w:pPr>
        <w:spacing w:after="0" w:line="175" w:lineRule="exact"/>
        <w:rPr>
          <w:sz w:val="20"/>
          <w:szCs w:val="20"/>
          <w:color w:val="auto"/>
        </w:rPr>
      </w:pPr>
    </w:p>
    <w:p>
      <w:pPr>
        <w:ind w:left="120" w:right="60" w:firstLine="771"/>
        <w:spacing w:after="0" w:line="234" w:lineRule="auto"/>
        <w:rPr>
          <w:sz w:val="20"/>
          <w:szCs w:val="20"/>
          <w:color w:val="auto"/>
        </w:rPr>
      </w:pPr>
      <w:r>
        <w:rPr>
          <w:rFonts w:ascii="Arial" w:cs="Arial" w:eastAsia="Arial" w:hAnsi="Arial"/>
          <w:sz w:val="20"/>
          <w:szCs w:val="20"/>
          <w:color w:val="auto"/>
        </w:rPr>
        <w:t>Our PC&amp;C committee regularly reviews the services provided by its outside consultant and believes that Pay Governance is independent from the company in providing executive compensation consulting services. Our PC&amp;C committee has assessed the independence of Pay Governance consistent with Nasdaq Global Select Market listing standards and SEC rules and has concluded that the engagement of Pay Governance does not raise any conflicts of interest. Our PC&amp;C committee monitors the independence of the compensation consultant on an annual basis.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Tax Considerations</w:t>
      </w:r>
    </w:p>
    <w:p>
      <w:pPr>
        <w:spacing w:after="0" w:line="204" w:lineRule="exact"/>
        <w:rPr>
          <w:sz w:val="20"/>
          <w:szCs w:val="20"/>
          <w:color w:val="auto"/>
        </w:rPr>
      </w:pPr>
    </w:p>
    <w:p>
      <w:pPr>
        <w:ind w:left="120" w:right="100" w:firstLine="771"/>
        <w:spacing w:after="0" w:line="248" w:lineRule="auto"/>
        <w:rPr>
          <w:sz w:val="20"/>
          <w:szCs w:val="20"/>
          <w:color w:val="auto"/>
        </w:rPr>
      </w:pPr>
      <w:r>
        <w:rPr>
          <w:rFonts w:ascii="Arial" w:cs="Arial" w:eastAsia="Arial" w:hAnsi="Arial"/>
          <w:sz w:val="19"/>
          <w:szCs w:val="19"/>
          <w:color w:val="auto"/>
        </w:rPr>
        <w:t>The PC&amp;C committee considers certain tax implications when designing our executive compensation programs and certain specific awards. We generally design our compensation programs so that compensation paid to our NEOs can qualify for available income tax deductions. However, the PC&amp;C committee believes that stockholders’ interests may best be served by offering compensation that is not fully deductible, where appropriate, to attract, retain and motivate talented executives. Accordingly, the PC&amp;C committee has discretion to authorize compensation that does not qualify for income tax deductibility.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People, Culture and Compensation Committee Report on Executive Compensation</w:t>
      </w:r>
    </w:p>
    <w:p>
      <w:pPr>
        <w:spacing w:after="0" w:line="204" w:lineRule="exact"/>
        <w:rPr>
          <w:sz w:val="20"/>
          <w:szCs w:val="20"/>
          <w:color w:val="auto"/>
        </w:rPr>
      </w:pPr>
    </w:p>
    <w:p>
      <w:pPr>
        <w:ind w:left="120" w:right="100" w:firstLine="771"/>
        <w:spacing w:after="0" w:line="234" w:lineRule="auto"/>
        <w:rPr>
          <w:sz w:val="20"/>
          <w:szCs w:val="20"/>
          <w:color w:val="auto"/>
        </w:rPr>
      </w:pPr>
      <w:r>
        <w:rPr>
          <w:rFonts w:ascii="Arial" w:cs="Arial" w:eastAsia="Arial" w:hAnsi="Arial"/>
          <w:sz w:val="20"/>
          <w:szCs w:val="20"/>
          <w:color w:val="auto"/>
        </w:rPr>
        <w:t>The members of our people, culture and compensation committee have reviewed and discussed the “Compensation Discussion and Analysis” required by Item 402(b) of Regulation S-K with management. Based upon such review and discussions, our people, culture and compensation committee recommended to our board that such section be included in this proxy statement and incorporated by reference in our Annual Report on Form 10-K for the year ended December 31, 2023, which was filed with the SEC on 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40" w:firstLine="771"/>
        <w:spacing w:after="0" w:line="237" w:lineRule="auto"/>
        <w:rPr>
          <w:sz w:val="20"/>
          <w:szCs w:val="20"/>
          <w:color w:val="auto"/>
        </w:rPr>
      </w:pPr>
      <w:r>
        <w:rPr>
          <w:rFonts w:ascii="Arial" w:cs="Arial" w:eastAsia="Arial" w:hAnsi="Arial"/>
          <w:sz w:val="20"/>
          <w:szCs w:val="20"/>
          <w:color w:val="auto"/>
        </w:rPr>
        <w:t>This people, culture and compensation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By the people, culture and compensation committee of the board of directors of Alnylam,</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Colleen F. Reitan, Chair</w:t>
      </w:r>
    </w:p>
    <w:p>
      <w:pPr>
        <w:ind w:left="880"/>
        <w:spacing w:after="0" w:line="229" w:lineRule="auto"/>
        <w:rPr>
          <w:sz w:val="20"/>
          <w:szCs w:val="20"/>
          <w:color w:val="auto"/>
        </w:rPr>
      </w:pPr>
      <w:r>
        <w:rPr>
          <w:rFonts w:ascii="Arial" w:cs="Arial" w:eastAsia="Arial" w:hAnsi="Arial"/>
          <w:sz w:val="20"/>
          <w:szCs w:val="20"/>
          <w:color w:val="auto"/>
        </w:rPr>
        <w:t>Olivier Brandicourt, M.D.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Elliott Sigal,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Executive Compensation</w:t>
      </w:r>
    </w:p>
    <w:p>
      <w:pPr>
        <w:spacing w:after="0" w:line="204" w:lineRule="exact"/>
        <w:rPr>
          <w:sz w:val="20"/>
          <w:szCs w:val="20"/>
          <w:color w:val="auto"/>
        </w:rPr>
      </w:pPr>
    </w:p>
    <w:p>
      <w:pPr>
        <w:ind w:left="120" w:right="160" w:firstLine="771"/>
        <w:spacing w:after="0" w:line="257" w:lineRule="auto"/>
        <w:rPr>
          <w:sz w:val="20"/>
          <w:szCs w:val="20"/>
          <w:color w:val="auto"/>
        </w:rPr>
      </w:pPr>
      <w:r>
        <w:rPr>
          <w:rFonts w:ascii="Arial" w:cs="Arial" w:eastAsia="Arial" w:hAnsi="Arial"/>
          <w:sz w:val="20"/>
          <w:szCs w:val="20"/>
          <w:color w:val="auto"/>
        </w:rPr>
        <w:t>The following table sets forth the total compensation paid or accrued for the years ended December 31, 2023, 2022 and 2021 to our NEOs.</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D3060"/>
        </w:rPr>
        <w:t>Summary Compensation Table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shd w:val="clear" w:color="auto" w:fill="1D3060"/>
          </w:tcPr>
          <w:p>
            <w:pPr>
              <w:spacing w:after="0"/>
              <w:rPr>
                <w:sz w:val="14"/>
                <w:szCs w:val="14"/>
                <w:color w:val="auto"/>
              </w:rPr>
            </w:pPr>
          </w:p>
        </w:tc>
        <w:tc>
          <w:tcPr>
            <w:tcW w:w="640" w:type="dxa"/>
            <w:vAlign w:val="bottom"/>
            <w:shd w:val="clear" w:color="auto" w:fill="1D3060"/>
          </w:tcPr>
          <w:p>
            <w:pPr>
              <w:spacing w:after="0"/>
              <w:rPr>
                <w:sz w:val="14"/>
                <w:szCs w:val="14"/>
                <w:color w:val="auto"/>
              </w:rPr>
            </w:pPr>
          </w:p>
        </w:tc>
        <w:tc>
          <w:tcPr>
            <w:tcW w:w="740" w:type="dxa"/>
            <w:vAlign w:val="bottom"/>
            <w:shd w:val="clear" w:color="auto" w:fill="1D3060"/>
          </w:tcPr>
          <w:p>
            <w:pPr>
              <w:spacing w:after="0"/>
              <w:rPr>
                <w:sz w:val="14"/>
                <w:szCs w:val="14"/>
                <w:color w:val="auto"/>
              </w:rPr>
            </w:pPr>
          </w:p>
        </w:tc>
        <w:tc>
          <w:tcPr>
            <w:tcW w:w="640" w:type="dxa"/>
            <w:vAlign w:val="bottom"/>
            <w:shd w:val="clear" w:color="auto" w:fill="1D3060"/>
          </w:tcPr>
          <w:p>
            <w:pPr>
              <w:spacing w:after="0"/>
              <w:rPr>
                <w:sz w:val="14"/>
                <w:szCs w:val="14"/>
                <w:color w:val="auto"/>
              </w:rPr>
            </w:pPr>
          </w:p>
        </w:tc>
        <w:tc>
          <w:tcPr>
            <w:tcW w:w="700" w:type="dxa"/>
            <w:vAlign w:val="bottom"/>
            <w:shd w:val="clear" w:color="auto" w:fill="1D3060"/>
          </w:tcPr>
          <w:p>
            <w:pPr>
              <w:spacing w:after="0"/>
              <w:rPr>
                <w:sz w:val="14"/>
                <w:szCs w:val="14"/>
                <w:color w:val="auto"/>
              </w:rPr>
            </w:pPr>
          </w:p>
        </w:tc>
        <w:tc>
          <w:tcPr>
            <w:tcW w:w="340" w:type="dxa"/>
            <w:vAlign w:val="bottom"/>
            <w:shd w:val="clear" w:color="auto" w:fill="1D3060"/>
          </w:tcPr>
          <w:p>
            <w:pPr>
              <w:spacing w:after="0"/>
              <w:rPr>
                <w:sz w:val="14"/>
                <w:szCs w:val="14"/>
                <w:color w:val="auto"/>
              </w:rPr>
            </w:pPr>
          </w:p>
        </w:tc>
        <w:tc>
          <w:tcPr>
            <w:tcW w:w="1020" w:type="dxa"/>
            <w:vAlign w:val="bottom"/>
            <w:shd w:val="clear" w:color="auto" w:fill="1D3060"/>
          </w:tcPr>
          <w:p>
            <w:pPr>
              <w:spacing w:after="0"/>
              <w:rPr>
                <w:sz w:val="14"/>
                <w:szCs w:val="14"/>
                <w:color w:val="auto"/>
              </w:rPr>
            </w:pPr>
          </w:p>
        </w:tc>
        <w:tc>
          <w:tcPr>
            <w:tcW w:w="122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Non-Equity</w:t>
            </w:r>
          </w:p>
        </w:tc>
        <w:tc>
          <w:tcPr>
            <w:tcW w:w="1160" w:type="dxa"/>
            <w:vAlign w:val="bottom"/>
            <w:shd w:val="clear" w:color="auto" w:fill="1D3060"/>
          </w:tcPr>
          <w:p>
            <w:pPr>
              <w:spacing w:after="0"/>
              <w:rPr>
                <w:sz w:val="14"/>
                <w:szCs w:val="14"/>
                <w:color w:val="auto"/>
              </w:rPr>
            </w:pPr>
          </w:p>
        </w:tc>
        <w:tc>
          <w:tcPr>
            <w:tcW w:w="860" w:type="dxa"/>
            <w:vAlign w:val="bottom"/>
            <w:shd w:val="clear" w:color="auto" w:fill="1D3060"/>
          </w:tcPr>
          <w:p>
            <w:pPr>
              <w:spacing w:after="0"/>
              <w:rPr>
                <w:sz w:val="14"/>
                <w:szCs w:val="14"/>
                <w:color w:val="auto"/>
              </w:rPr>
            </w:pPr>
          </w:p>
        </w:tc>
      </w:tr>
      <w:tr>
        <w:trPr>
          <w:trHeight w:val="162"/>
        </w:trPr>
        <w:tc>
          <w:tcPr>
            <w:tcW w:w="3700" w:type="dxa"/>
            <w:vAlign w:val="bottom"/>
            <w:shd w:val="clear" w:color="auto" w:fill="1D3060"/>
          </w:tcPr>
          <w:p>
            <w:pPr>
              <w:spacing w:after="0"/>
              <w:rPr>
                <w:sz w:val="14"/>
                <w:szCs w:val="14"/>
                <w:color w:val="auto"/>
              </w:rPr>
            </w:pPr>
          </w:p>
        </w:tc>
        <w:tc>
          <w:tcPr>
            <w:tcW w:w="640" w:type="dxa"/>
            <w:vAlign w:val="bottom"/>
            <w:shd w:val="clear" w:color="auto" w:fill="1D3060"/>
          </w:tcPr>
          <w:p>
            <w:pPr>
              <w:spacing w:after="0"/>
              <w:rPr>
                <w:sz w:val="14"/>
                <w:szCs w:val="14"/>
                <w:color w:val="auto"/>
              </w:rPr>
            </w:pPr>
          </w:p>
        </w:tc>
        <w:tc>
          <w:tcPr>
            <w:tcW w:w="740" w:type="dxa"/>
            <w:vAlign w:val="bottom"/>
            <w:shd w:val="clear" w:color="auto" w:fill="1D3060"/>
          </w:tcPr>
          <w:p>
            <w:pPr>
              <w:spacing w:after="0"/>
              <w:rPr>
                <w:sz w:val="14"/>
                <w:szCs w:val="14"/>
                <w:color w:val="auto"/>
              </w:rPr>
            </w:pPr>
          </w:p>
        </w:tc>
        <w:tc>
          <w:tcPr>
            <w:tcW w:w="640" w:type="dxa"/>
            <w:vAlign w:val="bottom"/>
            <w:shd w:val="clear" w:color="auto" w:fill="1D3060"/>
          </w:tcPr>
          <w:p>
            <w:pPr>
              <w:spacing w:after="0"/>
              <w:rPr>
                <w:sz w:val="14"/>
                <w:szCs w:val="14"/>
                <w:color w:val="auto"/>
              </w:rPr>
            </w:pPr>
          </w:p>
        </w:tc>
        <w:tc>
          <w:tcPr>
            <w:tcW w:w="700" w:type="dxa"/>
            <w:vAlign w:val="bottom"/>
            <w:shd w:val="clear" w:color="auto" w:fill="1D3060"/>
          </w:tcPr>
          <w:p>
            <w:pPr>
              <w:jc w:val="center"/>
              <w:ind w:left="28"/>
              <w:spacing w:after="0"/>
              <w:rPr>
                <w:sz w:val="20"/>
                <w:szCs w:val="20"/>
                <w:color w:val="auto"/>
              </w:rPr>
            </w:pPr>
            <w:r>
              <w:rPr>
                <w:rFonts w:ascii="Arial" w:cs="Arial" w:eastAsia="Arial" w:hAnsi="Arial"/>
                <w:sz w:val="14"/>
                <w:szCs w:val="14"/>
                <w:b w:val="1"/>
                <w:bCs w:val="1"/>
                <w:color w:val="FFFFFF"/>
              </w:rPr>
              <w:t>Stock</w:t>
            </w:r>
          </w:p>
        </w:tc>
        <w:tc>
          <w:tcPr>
            <w:tcW w:w="340" w:type="dxa"/>
            <w:vAlign w:val="bottom"/>
            <w:shd w:val="clear" w:color="auto" w:fill="1D3060"/>
          </w:tcPr>
          <w:p>
            <w:pPr>
              <w:spacing w:after="0"/>
              <w:rPr>
                <w:sz w:val="14"/>
                <w:szCs w:val="14"/>
                <w:color w:val="auto"/>
              </w:rPr>
            </w:pPr>
          </w:p>
        </w:tc>
        <w:tc>
          <w:tcPr>
            <w:tcW w:w="1020" w:type="dxa"/>
            <w:vAlign w:val="bottom"/>
            <w:shd w:val="clear" w:color="auto" w:fill="1D3060"/>
          </w:tcPr>
          <w:p>
            <w:pPr>
              <w:jc w:val="center"/>
              <w:ind w:right="128"/>
              <w:spacing w:after="0"/>
              <w:rPr>
                <w:sz w:val="20"/>
                <w:szCs w:val="20"/>
                <w:color w:val="auto"/>
              </w:rPr>
            </w:pPr>
            <w:r>
              <w:rPr>
                <w:rFonts w:ascii="Arial" w:cs="Arial" w:eastAsia="Arial" w:hAnsi="Arial"/>
                <w:sz w:val="14"/>
                <w:szCs w:val="14"/>
                <w:b w:val="1"/>
                <w:bCs w:val="1"/>
                <w:color w:val="FFFFFF"/>
              </w:rPr>
              <w:t>Option</w:t>
            </w:r>
          </w:p>
        </w:tc>
        <w:tc>
          <w:tcPr>
            <w:tcW w:w="122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16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All Other</w:t>
            </w:r>
          </w:p>
        </w:tc>
        <w:tc>
          <w:tcPr>
            <w:tcW w:w="860" w:type="dxa"/>
            <w:vAlign w:val="bottom"/>
            <w:shd w:val="clear" w:color="auto" w:fill="1D3060"/>
          </w:tcPr>
          <w:p>
            <w:pPr>
              <w:spacing w:after="0"/>
              <w:rPr>
                <w:sz w:val="14"/>
                <w:szCs w:val="14"/>
                <w:color w:val="auto"/>
              </w:rPr>
            </w:pPr>
          </w:p>
        </w:tc>
      </w:tr>
      <w:tr>
        <w:trPr>
          <w:trHeight w:val="162"/>
        </w:trPr>
        <w:tc>
          <w:tcPr>
            <w:tcW w:w="3700" w:type="dxa"/>
            <w:vAlign w:val="bottom"/>
            <w:shd w:val="clear" w:color="auto" w:fill="1D3060"/>
          </w:tcPr>
          <w:p>
            <w:pPr>
              <w:spacing w:after="0"/>
              <w:rPr>
                <w:sz w:val="14"/>
                <w:szCs w:val="14"/>
                <w:color w:val="auto"/>
              </w:rPr>
            </w:pPr>
          </w:p>
        </w:tc>
        <w:tc>
          <w:tcPr>
            <w:tcW w:w="640" w:type="dxa"/>
            <w:vAlign w:val="bottom"/>
            <w:shd w:val="clear" w:color="auto" w:fill="1D3060"/>
          </w:tcPr>
          <w:p>
            <w:pPr>
              <w:spacing w:after="0"/>
              <w:rPr>
                <w:sz w:val="14"/>
                <w:szCs w:val="14"/>
                <w:color w:val="auto"/>
              </w:rPr>
            </w:pPr>
          </w:p>
        </w:tc>
        <w:tc>
          <w:tcPr>
            <w:tcW w:w="740" w:type="dxa"/>
            <w:vAlign w:val="bottom"/>
            <w:shd w:val="clear" w:color="auto" w:fill="1D3060"/>
          </w:tcPr>
          <w:p>
            <w:pPr>
              <w:jc w:val="right"/>
              <w:ind w:right="88"/>
              <w:spacing w:after="0"/>
              <w:rPr>
                <w:sz w:val="20"/>
                <w:szCs w:val="20"/>
                <w:color w:val="auto"/>
              </w:rPr>
            </w:pPr>
            <w:r>
              <w:rPr>
                <w:rFonts w:ascii="Arial" w:cs="Arial" w:eastAsia="Arial" w:hAnsi="Arial"/>
                <w:sz w:val="14"/>
                <w:szCs w:val="14"/>
                <w:b w:val="1"/>
                <w:bCs w:val="1"/>
                <w:color w:val="FFFFFF"/>
              </w:rPr>
              <w:t>Salary</w:t>
            </w:r>
          </w:p>
        </w:tc>
        <w:tc>
          <w:tcPr>
            <w:tcW w:w="640" w:type="dxa"/>
            <w:vAlign w:val="bottom"/>
            <w:shd w:val="clear" w:color="auto" w:fill="1D3060"/>
          </w:tcPr>
          <w:p>
            <w:pPr>
              <w:ind w:left="100"/>
              <w:spacing w:after="0"/>
              <w:rPr>
                <w:sz w:val="20"/>
                <w:szCs w:val="20"/>
                <w:color w:val="auto"/>
              </w:rPr>
            </w:pPr>
            <w:r>
              <w:rPr>
                <w:rFonts w:ascii="Arial" w:cs="Arial" w:eastAsia="Arial" w:hAnsi="Arial"/>
                <w:sz w:val="14"/>
                <w:szCs w:val="14"/>
                <w:b w:val="1"/>
                <w:bCs w:val="1"/>
                <w:color w:val="FFFFFF"/>
              </w:rPr>
              <w:t>Bonus</w:t>
            </w:r>
          </w:p>
        </w:tc>
        <w:tc>
          <w:tcPr>
            <w:tcW w:w="700" w:type="dxa"/>
            <w:vAlign w:val="bottom"/>
            <w:shd w:val="clear" w:color="auto" w:fill="1D3060"/>
          </w:tcPr>
          <w:p>
            <w:pPr>
              <w:jc w:val="center"/>
              <w:ind w:left="28"/>
              <w:spacing w:after="0"/>
              <w:rPr>
                <w:sz w:val="20"/>
                <w:szCs w:val="20"/>
                <w:color w:val="auto"/>
              </w:rPr>
            </w:pPr>
            <w:r>
              <w:rPr>
                <w:rFonts w:ascii="Arial" w:cs="Arial" w:eastAsia="Arial" w:hAnsi="Arial"/>
                <w:sz w:val="14"/>
                <w:szCs w:val="14"/>
                <w:b w:val="1"/>
                <w:bCs w:val="1"/>
                <w:color w:val="FFFFFF"/>
              </w:rPr>
              <w:t>Awards</w:t>
            </w:r>
          </w:p>
        </w:tc>
        <w:tc>
          <w:tcPr>
            <w:tcW w:w="340" w:type="dxa"/>
            <w:vAlign w:val="bottom"/>
            <w:shd w:val="clear" w:color="auto" w:fill="1D3060"/>
          </w:tcPr>
          <w:p>
            <w:pPr>
              <w:spacing w:after="0"/>
              <w:rPr>
                <w:sz w:val="14"/>
                <w:szCs w:val="14"/>
                <w:color w:val="auto"/>
              </w:rPr>
            </w:pPr>
          </w:p>
        </w:tc>
        <w:tc>
          <w:tcPr>
            <w:tcW w:w="1020" w:type="dxa"/>
            <w:vAlign w:val="bottom"/>
            <w:shd w:val="clear" w:color="auto" w:fill="1D3060"/>
          </w:tcPr>
          <w:p>
            <w:pPr>
              <w:jc w:val="center"/>
              <w:ind w:right="128"/>
              <w:spacing w:after="0"/>
              <w:rPr>
                <w:sz w:val="20"/>
                <w:szCs w:val="20"/>
                <w:color w:val="auto"/>
              </w:rPr>
            </w:pPr>
            <w:r>
              <w:rPr>
                <w:rFonts w:ascii="Arial" w:cs="Arial" w:eastAsia="Arial" w:hAnsi="Arial"/>
                <w:sz w:val="14"/>
                <w:szCs w:val="14"/>
                <w:b w:val="1"/>
                <w:bCs w:val="1"/>
                <w:color w:val="FFFFFF"/>
                <w:w w:val="98"/>
              </w:rPr>
              <w:t>Awards</w:t>
            </w:r>
          </w:p>
        </w:tc>
        <w:tc>
          <w:tcPr>
            <w:tcW w:w="122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1D3060"/>
          </w:tcPr>
          <w:p>
            <w:pPr>
              <w:jc w:val="center"/>
              <w:spacing w:after="0"/>
              <w:rPr>
                <w:sz w:val="20"/>
                <w:szCs w:val="20"/>
                <w:color w:val="auto"/>
              </w:rPr>
            </w:pPr>
            <w:r>
              <w:rPr>
                <w:rFonts w:ascii="Arial" w:cs="Arial" w:eastAsia="Arial" w:hAnsi="Arial"/>
                <w:sz w:val="14"/>
                <w:szCs w:val="14"/>
                <w:b w:val="1"/>
                <w:bCs w:val="1"/>
                <w:color w:val="FFFFFF"/>
              </w:rPr>
              <w:t>Compensation</w:t>
            </w:r>
          </w:p>
        </w:tc>
        <w:tc>
          <w:tcPr>
            <w:tcW w:w="860" w:type="dxa"/>
            <w:vAlign w:val="bottom"/>
            <w:shd w:val="clear" w:color="auto" w:fill="1D3060"/>
          </w:tcPr>
          <w:p>
            <w:pPr>
              <w:jc w:val="right"/>
              <w:ind w:right="268"/>
              <w:spacing w:after="0"/>
              <w:rPr>
                <w:sz w:val="20"/>
                <w:szCs w:val="20"/>
                <w:color w:val="auto"/>
              </w:rPr>
            </w:pPr>
            <w:r>
              <w:rPr>
                <w:rFonts w:ascii="Arial" w:cs="Arial" w:eastAsia="Arial" w:hAnsi="Arial"/>
                <w:sz w:val="14"/>
                <w:szCs w:val="14"/>
                <w:b w:val="1"/>
                <w:bCs w:val="1"/>
                <w:color w:val="FFFFFF"/>
              </w:rPr>
              <w:t>Total</w:t>
            </w:r>
          </w:p>
        </w:tc>
      </w:tr>
      <w:tr>
        <w:trPr>
          <w:trHeight w:val="232"/>
        </w:trPr>
        <w:tc>
          <w:tcPr>
            <w:tcW w:w="3700" w:type="dxa"/>
            <w:vAlign w:val="bottom"/>
            <w:tcBorders>
              <w:bottom w:val="single" w:sz="8" w:color="1D3060"/>
            </w:tcBorders>
            <w:shd w:val="clear" w:color="auto" w:fill="1D3060"/>
          </w:tcPr>
          <w:p>
            <w:pPr>
              <w:spacing w:after="0"/>
              <w:rPr>
                <w:sz w:val="20"/>
                <w:szCs w:val="20"/>
                <w:color w:val="auto"/>
              </w:rPr>
            </w:pPr>
            <w:r>
              <w:rPr>
                <w:rFonts w:ascii="Arial" w:cs="Arial" w:eastAsia="Arial" w:hAnsi="Arial"/>
                <w:sz w:val="14"/>
                <w:szCs w:val="14"/>
                <w:b w:val="1"/>
                <w:bCs w:val="1"/>
                <w:color w:val="FFFFFF"/>
              </w:rPr>
              <w:t>  Name and Principal Position</w:t>
            </w:r>
          </w:p>
        </w:tc>
        <w:tc>
          <w:tcPr>
            <w:tcW w:w="640" w:type="dxa"/>
            <w:vAlign w:val="bottom"/>
            <w:tcBorders>
              <w:bottom w:val="single" w:sz="8" w:color="1D3060"/>
            </w:tcBorders>
            <w:shd w:val="clear" w:color="auto" w:fill="1D3060"/>
          </w:tcPr>
          <w:p>
            <w:pPr>
              <w:ind w:left="180"/>
              <w:spacing w:after="0"/>
              <w:rPr>
                <w:sz w:val="20"/>
                <w:szCs w:val="20"/>
                <w:color w:val="auto"/>
              </w:rPr>
            </w:pPr>
            <w:r>
              <w:rPr>
                <w:rFonts w:ascii="Arial" w:cs="Arial" w:eastAsia="Arial" w:hAnsi="Arial"/>
                <w:sz w:val="14"/>
                <w:szCs w:val="14"/>
                <w:b w:val="1"/>
                <w:bCs w:val="1"/>
                <w:color w:val="FFFFFF"/>
              </w:rPr>
              <w:t>Year</w:t>
            </w:r>
          </w:p>
        </w:tc>
        <w:tc>
          <w:tcPr>
            <w:tcW w:w="740" w:type="dxa"/>
            <w:vAlign w:val="bottom"/>
            <w:tcBorders>
              <w:bottom w:val="single" w:sz="8" w:color="1D3060"/>
            </w:tcBorders>
            <w:shd w:val="clear" w:color="auto" w:fill="1D3060"/>
          </w:tcPr>
          <w:p>
            <w:pPr>
              <w:jc w:val="right"/>
              <w:ind w:right="228"/>
              <w:spacing w:after="0"/>
              <w:rPr>
                <w:sz w:val="20"/>
                <w:szCs w:val="20"/>
                <w:color w:val="auto"/>
              </w:rPr>
            </w:pPr>
            <w:r>
              <w:rPr>
                <w:rFonts w:ascii="Arial" w:cs="Arial" w:eastAsia="Arial" w:hAnsi="Arial"/>
                <w:sz w:val="14"/>
                <w:szCs w:val="14"/>
                <w:b w:val="1"/>
                <w:bCs w:val="1"/>
                <w:color w:val="FFFFFF"/>
              </w:rPr>
              <w:t>($)</w:t>
            </w:r>
          </w:p>
        </w:tc>
        <w:tc>
          <w:tcPr>
            <w:tcW w:w="64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1D3060"/>
            </w:tcBorders>
            <w:shd w:val="clear" w:color="auto" w:fill="1D3060"/>
          </w:tcPr>
          <w:p>
            <w:pPr>
              <w:jc w:val="center"/>
              <w:ind w:left="28"/>
              <w:spacing w:after="0"/>
              <w:rPr>
                <w:sz w:val="20"/>
                <w:szCs w:val="20"/>
                <w:color w:val="auto"/>
              </w:rPr>
            </w:pPr>
            <w:r>
              <w:rPr>
                <w:rFonts w:ascii="Arial" w:cs="Arial" w:eastAsia="Arial" w:hAnsi="Arial"/>
                <w:sz w:val="14"/>
                <w:szCs w:val="14"/>
                <w:b w:val="1"/>
                <w:bCs w:val="1"/>
                <w:color w:val="FFFFFF"/>
              </w:rPr>
              <w:t>($)(1)</w:t>
            </w:r>
          </w:p>
        </w:tc>
        <w:tc>
          <w:tcPr>
            <w:tcW w:w="340" w:type="dxa"/>
            <w:vAlign w:val="bottom"/>
            <w:tcBorders>
              <w:bottom w:val="single" w:sz="8" w:color="1D3060"/>
            </w:tcBorders>
            <w:shd w:val="clear" w:color="auto" w:fill="1D3060"/>
          </w:tcPr>
          <w:p>
            <w:pPr>
              <w:spacing w:after="0"/>
              <w:rPr>
                <w:sz w:val="20"/>
                <w:szCs w:val="20"/>
                <w:color w:val="auto"/>
              </w:rPr>
            </w:pPr>
          </w:p>
        </w:tc>
        <w:tc>
          <w:tcPr>
            <w:tcW w:w="1020" w:type="dxa"/>
            <w:vAlign w:val="bottom"/>
            <w:tcBorders>
              <w:bottom w:val="single" w:sz="8" w:color="1D3060"/>
            </w:tcBorders>
            <w:shd w:val="clear" w:color="auto" w:fill="1D3060"/>
          </w:tcPr>
          <w:p>
            <w:pPr>
              <w:jc w:val="center"/>
              <w:ind w:right="128"/>
              <w:spacing w:after="0"/>
              <w:rPr>
                <w:sz w:val="20"/>
                <w:szCs w:val="20"/>
                <w:color w:val="auto"/>
              </w:rPr>
            </w:pPr>
            <w:r>
              <w:rPr>
                <w:rFonts w:ascii="Arial" w:cs="Arial" w:eastAsia="Arial" w:hAnsi="Arial"/>
                <w:sz w:val="14"/>
                <w:szCs w:val="14"/>
                <w:b w:val="1"/>
                <w:bCs w:val="1"/>
                <w:color w:val="FFFFFF"/>
                <w:w w:val="99"/>
              </w:rPr>
              <w:t>($)(2)</w:t>
            </w:r>
          </w:p>
        </w:tc>
        <w:tc>
          <w:tcPr>
            <w:tcW w:w="122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w w:val="99"/>
              </w:rPr>
              <w:t>($)(3)</w:t>
            </w:r>
          </w:p>
        </w:tc>
        <w:tc>
          <w:tcPr>
            <w:tcW w:w="116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4"/>
                <w:szCs w:val="14"/>
                <w:b w:val="1"/>
                <w:bCs w:val="1"/>
                <w:color w:val="FFFFFF"/>
                <w:w w:val="99"/>
              </w:rPr>
              <w:t>($)(4)</w:t>
            </w:r>
          </w:p>
        </w:tc>
        <w:tc>
          <w:tcPr>
            <w:tcW w:w="860" w:type="dxa"/>
            <w:vAlign w:val="bottom"/>
            <w:tcBorders>
              <w:bottom w:val="single" w:sz="8" w:color="1D3060"/>
            </w:tcBorders>
            <w:shd w:val="clear" w:color="auto" w:fill="1D3060"/>
          </w:tcPr>
          <w:p>
            <w:pPr>
              <w:jc w:val="right"/>
              <w:ind w:right="348"/>
              <w:spacing w:after="0"/>
              <w:rPr>
                <w:sz w:val="20"/>
                <w:szCs w:val="20"/>
                <w:color w:val="auto"/>
              </w:rPr>
            </w:pPr>
            <w:r>
              <w:rPr>
                <w:rFonts w:ascii="Arial" w:cs="Arial" w:eastAsia="Arial" w:hAnsi="Arial"/>
                <w:sz w:val="14"/>
                <w:szCs w:val="14"/>
                <w:b w:val="1"/>
                <w:bCs w:val="1"/>
                <w:color w:val="FFFFFF"/>
              </w:rPr>
              <w:t>($)</w:t>
            </w:r>
          </w:p>
        </w:tc>
      </w:tr>
      <w:tr>
        <w:trPr>
          <w:trHeight w:val="216"/>
        </w:trPr>
        <w:tc>
          <w:tcPr>
            <w:tcW w:w="3700" w:type="dxa"/>
            <w:vAlign w:val="bottom"/>
            <w:shd w:val="clear" w:color="auto" w:fill="D7E8F5"/>
          </w:tcPr>
          <w:p>
            <w:pPr>
              <w:spacing w:after="0"/>
              <w:rPr>
                <w:sz w:val="20"/>
                <w:szCs w:val="20"/>
                <w:color w:val="auto"/>
              </w:rPr>
            </w:pPr>
            <w:r>
              <w:rPr>
                <w:rFonts w:ascii="Arial" w:cs="Arial" w:eastAsia="Arial" w:hAnsi="Arial"/>
                <w:sz w:val="14"/>
                <w:szCs w:val="14"/>
                <w:color w:val="auto"/>
              </w:rPr>
              <w:t>  Yvonne L. Greenstreet, MBChB, MBA (10)</w:t>
            </w:r>
          </w:p>
        </w:tc>
        <w:tc>
          <w:tcPr>
            <w:tcW w:w="640" w:type="dxa"/>
            <w:vAlign w:val="bottom"/>
            <w:shd w:val="clear" w:color="auto" w:fill="D7E8F5"/>
          </w:tcPr>
          <w:p>
            <w:pPr>
              <w:ind w:left="200"/>
              <w:spacing w:after="0"/>
              <w:rPr>
                <w:sz w:val="20"/>
                <w:szCs w:val="20"/>
                <w:color w:val="auto"/>
              </w:rPr>
            </w:pPr>
            <w:r>
              <w:rPr>
                <w:rFonts w:ascii="Arial" w:cs="Arial" w:eastAsia="Arial" w:hAnsi="Arial"/>
                <w:sz w:val="14"/>
                <w:szCs w:val="14"/>
                <w:color w:val="auto"/>
              </w:rPr>
              <w:t>2023</w:t>
            </w:r>
          </w:p>
        </w:tc>
        <w:tc>
          <w:tcPr>
            <w:tcW w:w="74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975,800</w:t>
            </w:r>
          </w:p>
        </w:tc>
        <w:tc>
          <w:tcPr>
            <w:tcW w:w="640" w:type="dxa"/>
            <w:vAlign w:val="bottom"/>
            <w:shd w:val="clear" w:color="auto" w:fill="D7E8F5"/>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D7E8F5"/>
          </w:tcPr>
          <w:p>
            <w:pPr>
              <w:jc w:val="right"/>
              <w:ind w:right="48"/>
              <w:spacing w:after="0"/>
              <w:rPr>
                <w:sz w:val="20"/>
                <w:szCs w:val="20"/>
                <w:color w:val="auto"/>
              </w:rPr>
            </w:pPr>
            <w:r>
              <w:rPr>
                <w:rFonts w:ascii="Arial" w:cs="Arial" w:eastAsia="Arial" w:hAnsi="Arial"/>
                <w:sz w:val="14"/>
                <w:szCs w:val="14"/>
                <w:color w:val="auto"/>
              </w:rPr>
              <w:t>3,375,150(5)</w:t>
            </w:r>
          </w:p>
        </w:tc>
        <w:tc>
          <w:tcPr>
            <w:tcW w:w="1020" w:type="dxa"/>
            <w:vAlign w:val="bottom"/>
            <w:shd w:val="clear" w:color="auto" w:fill="D7E8F5"/>
          </w:tcPr>
          <w:p>
            <w:pPr>
              <w:jc w:val="right"/>
              <w:ind w:right="188"/>
              <w:spacing w:after="0"/>
              <w:rPr>
                <w:sz w:val="20"/>
                <w:szCs w:val="20"/>
                <w:color w:val="auto"/>
              </w:rPr>
            </w:pPr>
            <w:r>
              <w:rPr>
                <w:rFonts w:ascii="Arial" w:cs="Arial" w:eastAsia="Arial" w:hAnsi="Arial"/>
                <w:sz w:val="14"/>
                <w:szCs w:val="14"/>
                <w:color w:val="auto"/>
              </w:rPr>
              <w:t>3,369,000</w:t>
            </w:r>
          </w:p>
        </w:tc>
        <w:tc>
          <w:tcPr>
            <w:tcW w:w="122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1,155,000</w:t>
            </w:r>
          </w:p>
        </w:tc>
        <w:tc>
          <w:tcPr>
            <w:tcW w:w="1160" w:type="dxa"/>
            <w:vAlign w:val="bottom"/>
            <w:shd w:val="clear" w:color="auto" w:fill="D7E8F5"/>
          </w:tcPr>
          <w:p>
            <w:pPr>
              <w:jc w:val="right"/>
              <w:spacing w:after="0"/>
              <w:rPr>
                <w:sz w:val="20"/>
                <w:szCs w:val="20"/>
                <w:color w:val="auto"/>
              </w:rPr>
            </w:pPr>
            <w:r>
              <w:rPr>
                <w:rFonts w:ascii="Arial" w:cs="Arial" w:eastAsia="Arial" w:hAnsi="Arial"/>
                <w:sz w:val="14"/>
                <w:szCs w:val="14"/>
                <w:color w:val="auto"/>
              </w:rPr>
              <w:t>20,720</w:t>
            </w:r>
          </w:p>
        </w:tc>
        <w:tc>
          <w:tcPr>
            <w:tcW w:w="860" w:type="dxa"/>
            <w:vAlign w:val="bottom"/>
            <w:shd w:val="clear" w:color="auto" w:fill="D7E8F5"/>
          </w:tcPr>
          <w:p>
            <w:pPr>
              <w:jc w:val="right"/>
              <w:ind w:right="88"/>
              <w:spacing w:after="0"/>
              <w:rPr>
                <w:sz w:val="20"/>
                <w:szCs w:val="20"/>
                <w:color w:val="auto"/>
              </w:rPr>
            </w:pPr>
            <w:r>
              <w:rPr>
                <w:rFonts w:ascii="Arial" w:cs="Arial" w:eastAsia="Arial" w:hAnsi="Arial"/>
                <w:sz w:val="14"/>
                <w:szCs w:val="14"/>
                <w:color w:val="auto"/>
              </w:rPr>
              <w:t>8,895,670</w:t>
            </w:r>
          </w:p>
        </w:tc>
      </w:tr>
      <w:tr>
        <w:trPr>
          <w:trHeight w:val="162"/>
        </w:trPr>
        <w:tc>
          <w:tcPr>
            <w:tcW w:w="3700" w:type="dxa"/>
            <w:vAlign w:val="bottom"/>
            <w:shd w:val="clear" w:color="auto" w:fill="D7E8F5"/>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Chief Executive Officer</w:t>
            </w:r>
          </w:p>
        </w:tc>
        <w:tc>
          <w:tcPr>
            <w:tcW w:w="640" w:type="dxa"/>
            <w:vAlign w:val="bottom"/>
            <w:shd w:val="clear" w:color="auto" w:fill="D7E8F5"/>
          </w:tcPr>
          <w:p>
            <w:pPr>
              <w:ind w:left="200"/>
              <w:spacing w:after="0"/>
              <w:rPr>
                <w:sz w:val="20"/>
                <w:szCs w:val="20"/>
                <w:color w:val="auto"/>
              </w:rPr>
            </w:pPr>
            <w:r>
              <w:rPr>
                <w:rFonts w:ascii="Arial" w:cs="Arial" w:eastAsia="Arial" w:hAnsi="Arial"/>
                <w:sz w:val="14"/>
                <w:szCs w:val="14"/>
                <w:color w:val="auto"/>
              </w:rPr>
              <w:t>2022</w:t>
            </w:r>
          </w:p>
        </w:tc>
        <w:tc>
          <w:tcPr>
            <w:tcW w:w="74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850,000</w:t>
            </w:r>
          </w:p>
        </w:tc>
        <w:tc>
          <w:tcPr>
            <w:tcW w:w="640" w:type="dxa"/>
            <w:vAlign w:val="bottom"/>
            <w:shd w:val="clear" w:color="auto" w:fill="D7E8F5"/>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shd w:val="clear" w:color="auto" w:fill="D7E8F5"/>
          </w:tcPr>
          <w:p>
            <w:pPr>
              <w:ind w:left="380"/>
              <w:spacing w:after="0"/>
              <w:rPr>
                <w:sz w:val="20"/>
                <w:szCs w:val="20"/>
                <w:color w:val="auto"/>
              </w:rPr>
            </w:pPr>
            <w:r>
              <w:rPr>
                <w:rFonts w:ascii="Arial" w:cs="Arial" w:eastAsia="Arial" w:hAnsi="Arial"/>
                <w:sz w:val="14"/>
                <w:szCs w:val="14"/>
                <w:color w:val="auto"/>
                <w:w w:val="74"/>
              </w:rPr>
              <w:t>—    </w:t>
            </w:r>
          </w:p>
        </w:tc>
        <w:tc>
          <w:tcPr>
            <w:tcW w:w="340" w:type="dxa"/>
            <w:vAlign w:val="bottom"/>
            <w:shd w:val="clear" w:color="auto" w:fill="D7E8F5"/>
          </w:tcPr>
          <w:p>
            <w:pPr>
              <w:jc w:val="right"/>
              <w:ind w:right="48"/>
              <w:spacing w:after="0"/>
              <w:rPr>
                <w:sz w:val="20"/>
                <w:szCs w:val="20"/>
                <w:color w:val="auto"/>
              </w:rPr>
            </w:pPr>
            <w:r>
              <w:rPr>
                <w:rFonts w:ascii="Arial" w:cs="Arial" w:eastAsia="Arial" w:hAnsi="Arial"/>
                <w:sz w:val="14"/>
                <w:szCs w:val="14"/>
                <w:color w:val="auto"/>
              </w:rPr>
              <w:t>(6)</w:t>
            </w:r>
          </w:p>
        </w:tc>
        <w:tc>
          <w:tcPr>
            <w:tcW w:w="1020" w:type="dxa"/>
            <w:vAlign w:val="bottom"/>
            <w:shd w:val="clear" w:color="auto" w:fill="D7E8F5"/>
          </w:tcPr>
          <w:p>
            <w:pPr>
              <w:jc w:val="right"/>
              <w:ind w:right="188"/>
              <w:spacing w:after="0"/>
              <w:rPr>
                <w:sz w:val="20"/>
                <w:szCs w:val="20"/>
                <w:color w:val="auto"/>
              </w:rPr>
            </w:pPr>
            <w:r>
              <w:rPr>
                <w:rFonts w:ascii="Arial" w:cs="Arial" w:eastAsia="Arial" w:hAnsi="Arial"/>
                <w:sz w:val="14"/>
                <w:szCs w:val="14"/>
                <w:color w:val="auto"/>
              </w:rPr>
              <w:t>2,498,790</w:t>
            </w:r>
          </w:p>
        </w:tc>
        <w:tc>
          <w:tcPr>
            <w:tcW w:w="122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977,500</w:t>
            </w:r>
          </w:p>
        </w:tc>
        <w:tc>
          <w:tcPr>
            <w:tcW w:w="1160" w:type="dxa"/>
            <w:vAlign w:val="bottom"/>
            <w:shd w:val="clear" w:color="auto" w:fill="D7E8F5"/>
          </w:tcPr>
          <w:p>
            <w:pPr>
              <w:jc w:val="right"/>
              <w:spacing w:after="0"/>
              <w:rPr>
                <w:sz w:val="20"/>
                <w:szCs w:val="20"/>
                <w:color w:val="auto"/>
              </w:rPr>
            </w:pPr>
            <w:r>
              <w:rPr>
                <w:rFonts w:ascii="Arial" w:cs="Arial" w:eastAsia="Arial" w:hAnsi="Arial"/>
                <w:sz w:val="14"/>
                <w:szCs w:val="14"/>
                <w:color w:val="auto"/>
              </w:rPr>
              <w:t>262,520</w:t>
            </w:r>
          </w:p>
        </w:tc>
        <w:tc>
          <w:tcPr>
            <w:tcW w:w="860" w:type="dxa"/>
            <w:vAlign w:val="bottom"/>
            <w:shd w:val="clear" w:color="auto" w:fill="D7E8F5"/>
          </w:tcPr>
          <w:p>
            <w:pPr>
              <w:jc w:val="right"/>
              <w:ind w:right="88"/>
              <w:spacing w:after="0"/>
              <w:rPr>
                <w:sz w:val="20"/>
                <w:szCs w:val="20"/>
                <w:color w:val="auto"/>
              </w:rPr>
            </w:pPr>
            <w:r>
              <w:rPr>
                <w:rFonts w:ascii="Arial" w:cs="Arial" w:eastAsia="Arial" w:hAnsi="Arial"/>
                <w:sz w:val="14"/>
                <w:szCs w:val="14"/>
                <w:color w:val="auto"/>
              </w:rPr>
              <w:t>4,588,810</w:t>
            </w:r>
          </w:p>
        </w:tc>
      </w:tr>
      <w:tr>
        <w:trPr>
          <w:trHeight w:val="196"/>
        </w:trPr>
        <w:tc>
          <w:tcPr>
            <w:tcW w:w="3700" w:type="dxa"/>
            <w:vAlign w:val="bottom"/>
            <w:tcBorders>
              <w:bottom w:val="single" w:sz="8" w:color="D7E8F5"/>
            </w:tcBorders>
            <w:shd w:val="clear" w:color="auto" w:fill="D7E8F5"/>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(principal executive officer)</w:t>
            </w:r>
          </w:p>
        </w:tc>
        <w:tc>
          <w:tcPr>
            <w:tcW w:w="640" w:type="dxa"/>
            <w:vAlign w:val="bottom"/>
            <w:tcBorders>
              <w:bottom w:val="single" w:sz="8" w:color="D7E8F5"/>
            </w:tcBorders>
            <w:shd w:val="clear" w:color="auto" w:fill="D7E8F5"/>
          </w:tcPr>
          <w:p>
            <w:pPr>
              <w:ind w:left="200"/>
              <w:spacing w:after="0"/>
              <w:rPr>
                <w:sz w:val="20"/>
                <w:szCs w:val="20"/>
                <w:color w:val="auto"/>
              </w:rPr>
            </w:pPr>
            <w:r>
              <w:rPr>
                <w:rFonts w:ascii="Arial" w:cs="Arial" w:eastAsia="Arial" w:hAnsi="Arial"/>
                <w:sz w:val="14"/>
                <w:szCs w:val="14"/>
                <w:color w:val="auto"/>
              </w:rPr>
              <w:t>2021</w:t>
            </w:r>
          </w:p>
        </w:tc>
        <w:tc>
          <w:tcPr>
            <w:tcW w:w="740" w:type="dxa"/>
            <w:vAlign w:val="bottom"/>
            <w:tcBorders>
              <w:bottom w:val="single" w:sz="8" w:color="D7E8F5"/>
            </w:tcBorders>
            <w:shd w:val="clear" w:color="auto" w:fill="D7E8F5"/>
          </w:tcPr>
          <w:p>
            <w:pPr>
              <w:jc w:val="right"/>
              <w:ind w:right="28"/>
              <w:spacing w:after="0"/>
              <w:rPr>
                <w:sz w:val="20"/>
                <w:szCs w:val="20"/>
                <w:color w:val="auto"/>
              </w:rPr>
            </w:pPr>
            <w:r>
              <w:rPr>
                <w:rFonts w:ascii="Arial" w:cs="Arial" w:eastAsia="Arial" w:hAnsi="Arial"/>
                <w:sz w:val="14"/>
                <w:szCs w:val="14"/>
                <w:color w:val="auto"/>
              </w:rPr>
              <w:t>619,100</w:t>
            </w:r>
          </w:p>
        </w:tc>
        <w:tc>
          <w:tcPr>
            <w:tcW w:w="64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D7E8F5"/>
            </w:tcBorders>
            <w:shd w:val="clear" w:color="auto" w:fill="D7E8F5"/>
          </w:tcPr>
          <w:p>
            <w:pPr>
              <w:ind w:left="380"/>
              <w:spacing w:after="0"/>
              <w:rPr>
                <w:sz w:val="20"/>
                <w:szCs w:val="20"/>
                <w:color w:val="auto"/>
              </w:rPr>
            </w:pPr>
            <w:r>
              <w:rPr>
                <w:rFonts w:ascii="Arial" w:cs="Arial" w:eastAsia="Arial" w:hAnsi="Arial"/>
                <w:sz w:val="14"/>
                <w:szCs w:val="14"/>
                <w:color w:val="auto"/>
                <w:w w:val="74"/>
              </w:rPr>
              <w:t>—    </w:t>
            </w:r>
          </w:p>
        </w:tc>
        <w:tc>
          <w:tcPr>
            <w:tcW w:w="340" w:type="dxa"/>
            <w:vAlign w:val="bottom"/>
            <w:tcBorders>
              <w:bottom w:val="single" w:sz="8" w:color="D7E8F5"/>
            </w:tcBorders>
            <w:shd w:val="clear" w:color="auto" w:fill="D7E8F5"/>
          </w:tcPr>
          <w:p>
            <w:pPr>
              <w:jc w:val="right"/>
              <w:ind w:right="48"/>
              <w:spacing w:after="0"/>
              <w:rPr>
                <w:sz w:val="20"/>
                <w:szCs w:val="20"/>
                <w:color w:val="auto"/>
              </w:rPr>
            </w:pPr>
            <w:r>
              <w:rPr>
                <w:rFonts w:ascii="Arial" w:cs="Arial" w:eastAsia="Arial" w:hAnsi="Arial"/>
                <w:sz w:val="14"/>
                <w:szCs w:val="14"/>
                <w:color w:val="auto"/>
              </w:rPr>
              <w:t>(6)</w:t>
            </w:r>
          </w:p>
        </w:tc>
        <w:tc>
          <w:tcPr>
            <w:tcW w:w="1020" w:type="dxa"/>
            <w:vAlign w:val="bottom"/>
            <w:tcBorders>
              <w:bottom w:val="single" w:sz="8" w:color="D7E8F5"/>
            </w:tcBorders>
            <w:shd w:val="clear" w:color="auto" w:fill="D7E8F5"/>
          </w:tcPr>
          <w:p>
            <w:pPr>
              <w:jc w:val="right"/>
              <w:ind w:right="8"/>
              <w:spacing w:after="0"/>
              <w:rPr>
                <w:sz w:val="20"/>
                <w:szCs w:val="20"/>
                <w:color w:val="auto"/>
              </w:rPr>
            </w:pPr>
            <w:r>
              <w:rPr>
                <w:rFonts w:ascii="Arial" w:cs="Arial" w:eastAsia="Arial" w:hAnsi="Arial"/>
                <w:sz w:val="14"/>
                <w:szCs w:val="14"/>
                <w:color w:val="auto"/>
              </w:rPr>
              <w:t>7,341,000(9)</w:t>
            </w:r>
          </w:p>
        </w:tc>
        <w:tc>
          <w:tcPr>
            <w:tcW w:w="1220" w:type="dxa"/>
            <w:vAlign w:val="bottom"/>
            <w:tcBorders>
              <w:bottom w:val="single" w:sz="8" w:color="D7E8F5"/>
            </w:tcBorders>
            <w:shd w:val="clear" w:color="auto" w:fill="D7E8F5"/>
          </w:tcPr>
          <w:p>
            <w:pPr>
              <w:jc w:val="right"/>
              <w:ind w:right="28"/>
              <w:spacing w:after="0"/>
              <w:rPr>
                <w:sz w:val="20"/>
                <w:szCs w:val="20"/>
                <w:color w:val="auto"/>
              </w:rPr>
            </w:pPr>
            <w:r>
              <w:rPr>
                <w:rFonts w:ascii="Arial" w:cs="Arial" w:eastAsia="Arial" w:hAnsi="Arial"/>
                <w:sz w:val="14"/>
                <w:szCs w:val="14"/>
                <w:color w:val="auto"/>
              </w:rPr>
              <w:t>429,120</w:t>
            </w:r>
          </w:p>
        </w:tc>
        <w:tc>
          <w:tcPr>
            <w:tcW w:w="116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4"/>
                <w:szCs w:val="14"/>
                <w:color w:val="auto"/>
              </w:rPr>
              <w:t>186,000</w:t>
            </w:r>
          </w:p>
        </w:tc>
        <w:tc>
          <w:tcPr>
            <w:tcW w:w="86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8,575,220</w:t>
            </w:r>
          </w:p>
        </w:tc>
      </w:tr>
      <w:tr>
        <w:trPr>
          <w:trHeight w:val="207"/>
        </w:trPr>
        <w:tc>
          <w:tcPr>
            <w:tcW w:w="3700" w:type="dxa"/>
            <w:vAlign w:val="bottom"/>
          </w:tcPr>
          <w:p>
            <w:pPr>
              <w:spacing w:after="0"/>
              <w:rPr>
                <w:sz w:val="20"/>
                <w:szCs w:val="20"/>
                <w:color w:val="auto"/>
              </w:rPr>
            </w:pPr>
            <w:r>
              <w:rPr>
                <w:rFonts w:ascii="Arial" w:cs="Arial" w:eastAsia="Arial" w:hAnsi="Arial"/>
                <w:sz w:val="14"/>
                <w:szCs w:val="14"/>
                <w:color w:val="auto"/>
              </w:rPr>
              <w:t>  Jeffrey V. Poulton</w:t>
            </w:r>
          </w:p>
        </w:tc>
        <w:tc>
          <w:tcPr>
            <w:tcW w:w="640" w:type="dxa"/>
            <w:vAlign w:val="bottom"/>
          </w:tcPr>
          <w:p>
            <w:pPr>
              <w:ind w:left="200"/>
              <w:spacing w:after="0"/>
              <w:rPr>
                <w:sz w:val="20"/>
                <w:szCs w:val="20"/>
                <w:color w:val="auto"/>
              </w:rPr>
            </w:pPr>
            <w:r>
              <w:rPr>
                <w:rFonts w:ascii="Arial" w:cs="Arial" w:eastAsia="Arial" w:hAnsi="Arial"/>
                <w:sz w:val="14"/>
                <w:szCs w:val="14"/>
                <w:color w:val="auto"/>
              </w:rPr>
              <w:t>2023</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651,900</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1,087,620(5)</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1,085,590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381,150</w:t>
            </w:r>
          </w:p>
        </w:tc>
        <w:tc>
          <w:tcPr>
            <w:tcW w:w="1160" w:type="dxa"/>
            <w:vAlign w:val="bottom"/>
          </w:tcPr>
          <w:p>
            <w:pPr>
              <w:jc w:val="right"/>
              <w:spacing w:after="0"/>
              <w:rPr>
                <w:sz w:val="20"/>
                <w:szCs w:val="20"/>
                <w:color w:val="auto"/>
              </w:rPr>
            </w:pPr>
            <w:r>
              <w:rPr>
                <w:rFonts w:ascii="Arial" w:cs="Arial" w:eastAsia="Arial" w:hAnsi="Arial"/>
                <w:sz w:val="14"/>
                <w:szCs w:val="14"/>
                <w:color w:val="auto"/>
              </w:rPr>
              <w:t>18,100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3,224,360</w:t>
            </w:r>
          </w:p>
        </w:tc>
      </w:tr>
      <w:tr>
        <w:trPr>
          <w:trHeight w:val="162"/>
        </w:trPr>
        <w:tc>
          <w:tcPr>
            <w:tcW w:w="3700" w:type="dxa"/>
            <w:vAlign w:val="bottom"/>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Executive Vice President, Chief Financial</w:t>
            </w:r>
          </w:p>
        </w:tc>
        <w:tc>
          <w:tcPr>
            <w:tcW w:w="640" w:type="dxa"/>
            <w:vAlign w:val="bottom"/>
          </w:tcPr>
          <w:p>
            <w:pPr>
              <w:ind w:left="200"/>
              <w:spacing w:after="0"/>
              <w:rPr>
                <w:sz w:val="20"/>
                <w:szCs w:val="20"/>
                <w:color w:val="auto"/>
              </w:rPr>
            </w:pPr>
            <w:r>
              <w:rPr>
                <w:rFonts w:ascii="Arial" w:cs="Arial" w:eastAsia="Arial" w:hAnsi="Arial"/>
                <w:sz w:val="14"/>
                <w:szCs w:val="14"/>
                <w:color w:val="auto"/>
              </w:rPr>
              <w:t>2022</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604,500</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ind w:left="380"/>
              <w:spacing w:after="0"/>
              <w:rPr>
                <w:sz w:val="20"/>
                <w:szCs w:val="20"/>
                <w:color w:val="auto"/>
              </w:rPr>
            </w:pPr>
            <w:r>
              <w:rPr>
                <w:rFonts w:ascii="Arial" w:cs="Arial" w:eastAsia="Arial" w:hAnsi="Arial"/>
                <w:sz w:val="14"/>
                <w:szCs w:val="14"/>
                <w:color w:val="auto"/>
                <w:w w:val="74"/>
              </w:rPr>
              <w:t>—    </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1,449,280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350,750</w:t>
            </w:r>
          </w:p>
        </w:tc>
        <w:tc>
          <w:tcPr>
            <w:tcW w:w="1160" w:type="dxa"/>
            <w:vAlign w:val="bottom"/>
          </w:tcPr>
          <w:p>
            <w:pPr>
              <w:jc w:val="right"/>
              <w:spacing w:after="0"/>
              <w:rPr>
                <w:sz w:val="20"/>
                <w:szCs w:val="20"/>
                <w:color w:val="auto"/>
              </w:rPr>
            </w:pPr>
            <w:r>
              <w:rPr>
                <w:rFonts w:ascii="Arial" w:cs="Arial" w:eastAsia="Arial" w:hAnsi="Arial"/>
                <w:sz w:val="14"/>
                <w:szCs w:val="14"/>
                <w:color w:val="auto"/>
              </w:rPr>
              <w:t>17,100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2,421,630</w:t>
            </w:r>
          </w:p>
        </w:tc>
      </w:tr>
      <w:tr>
        <w:trPr>
          <w:trHeight w:val="190"/>
        </w:trPr>
        <w:tc>
          <w:tcPr>
            <w:tcW w:w="3700" w:type="dxa"/>
            <w:vAlign w:val="bottom"/>
          </w:tcPr>
          <w:p>
            <w:pPr>
              <w:ind w:left="140"/>
              <w:spacing w:after="0"/>
              <w:rPr>
                <w:sz w:val="20"/>
                <w:szCs w:val="20"/>
                <w:color w:val="auto"/>
              </w:rPr>
            </w:pPr>
            <w:r>
              <w:rPr>
                <w:rFonts w:ascii="Arial" w:cs="Arial" w:eastAsia="Arial" w:hAnsi="Arial"/>
                <w:sz w:val="14"/>
                <w:szCs w:val="14"/>
                <w:i w:val="1"/>
                <w:iCs w:val="1"/>
                <w:color w:val="auto"/>
              </w:rPr>
              <w:t>  Officer (principal financial officer)</w:t>
            </w:r>
          </w:p>
        </w:tc>
        <w:tc>
          <w:tcPr>
            <w:tcW w:w="640" w:type="dxa"/>
            <w:vAlign w:val="bottom"/>
          </w:tcPr>
          <w:p>
            <w:pPr>
              <w:ind w:left="200"/>
              <w:spacing w:after="0"/>
              <w:rPr>
                <w:sz w:val="20"/>
                <w:szCs w:val="20"/>
                <w:color w:val="auto"/>
              </w:rPr>
            </w:pPr>
            <w:r>
              <w:rPr>
                <w:rFonts w:ascii="Arial" w:cs="Arial" w:eastAsia="Arial" w:hAnsi="Arial"/>
                <w:sz w:val="14"/>
                <w:szCs w:val="14"/>
                <w:color w:val="auto"/>
              </w:rPr>
              <w:t>2021</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569,200</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ind w:left="380"/>
              <w:spacing w:after="0"/>
              <w:rPr>
                <w:sz w:val="20"/>
                <w:szCs w:val="20"/>
                <w:color w:val="auto"/>
              </w:rPr>
            </w:pPr>
            <w:r>
              <w:rPr>
                <w:rFonts w:ascii="Arial" w:cs="Arial" w:eastAsia="Arial" w:hAnsi="Arial"/>
                <w:sz w:val="14"/>
                <w:szCs w:val="14"/>
                <w:color w:val="auto"/>
                <w:w w:val="74"/>
              </w:rPr>
              <w:t>—    </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1,884,125</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330,630</w:t>
            </w:r>
          </w:p>
        </w:tc>
        <w:tc>
          <w:tcPr>
            <w:tcW w:w="1160" w:type="dxa"/>
            <w:vAlign w:val="bottom"/>
          </w:tcPr>
          <w:p>
            <w:pPr>
              <w:jc w:val="right"/>
              <w:spacing w:after="0"/>
              <w:rPr>
                <w:sz w:val="20"/>
                <w:szCs w:val="20"/>
                <w:color w:val="auto"/>
              </w:rPr>
            </w:pPr>
            <w:r>
              <w:rPr>
                <w:rFonts w:ascii="Arial" w:cs="Arial" w:eastAsia="Arial" w:hAnsi="Arial"/>
                <w:sz w:val="14"/>
                <w:szCs w:val="14"/>
                <w:color w:val="auto"/>
              </w:rPr>
              <w:t>14,220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2,798,175</w:t>
            </w:r>
          </w:p>
        </w:tc>
      </w:tr>
      <w:tr>
        <w:trPr>
          <w:trHeight w:val="35"/>
        </w:trPr>
        <w:tc>
          <w:tcPr>
            <w:tcW w:w="3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6"/>
        </w:trPr>
        <w:tc>
          <w:tcPr>
            <w:tcW w:w="3700" w:type="dxa"/>
            <w:vAlign w:val="bottom"/>
            <w:shd w:val="clear" w:color="auto" w:fill="D7E8F5"/>
          </w:tcPr>
          <w:p>
            <w:pPr>
              <w:spacing w:after="0"/>
              <w:rPr>
                <w:sz w:val="20"/>
                <w:szCs w:val="20"/>
                <w:color w:val="auto"/>
              </w:rPr>
            </w:pPr>
            <w:r>
              <w:rPr>
                <w:rFonts w:ascii="Arial" w:cs="Arial" w:eastAsia="Arial" w:hAnsi="Arial"/>
                <w:sz w:val="14"/>
                <w:szCs w:val="14"/>
                <w:color w:val="auto"/>
              </w:rPr>
              <w:t>  Pushkal Garg, M.D.</w:t>
            </w:r>
          </w:p>
        </w:tc>
        <w:tc>
          <w:tcPr>
            <w:tcW w:w="640" w:type="dxa"/>
            <w:vAlign w:val="bottom"/>
            <w:shd w:val="clear" w:color="auto" w:fill="D7E8F5"/>
          </w:tcPr>
          <w:p>
            <w:pPr>
              <w:ind w:left="200"/>
              <w:spacing w:after="0"/>
              <w:rPr>
                <w:sz w:val="20"/>
                <w:szCs w:val="20"/>
                <w:color w:val="auto"/>
              </w:rPr>
            </w:pPr>
            <w:r>
              <w:rPr>
                <w:rFonts w:ascii="Arial" w:cs="Arial" w:eastAsia="Arial" w:hAnsi="Arial"/>
                <w:sz w:val="14"/>
                <w:szCs w:val="14"/>
                <w:color w:val="auto"/>
              </w:rPr>
              <w:t>2023</w:t>
            </w:r>
          </w:p>
        </w:tc>
        <w:tc>
          <w:tcPr>
            <w:tcW w:w="74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656,900</w:t>
            </w:r>
          </w:p>
        </w:tc>
        <w:tc>
          <w:tcPr>
            <w:tcW w:w="640" w:type="dxa"/>
            <w:vAlign w:val="bottom"/>
            <w:shd w:val="clear" w:color="auto" w:fill="D7E8F5"/>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D7E8F5"/>
          </w:tcPr>
          <w:p>
            <w:pPr>
              <w:jc w:val="right"/>
              <w:ind w:right="48"/>
              <w:spacing w:after="0"/>
              <w:rPr>
                <w:sz w:val="20"/>
                <w:szCs w:val="20"/>
                <w:color w:val="auto"/>
              </w:rPr>
            </w:pPr>
            <w:r>
              <w:rPr>
                <w:rFonts w:ascii="Arial" w:cs="Arial" w:eastAsia="Arial" w:hAnsi="Arial"/>
                <w:sz w:val="14"/>
                <w:szCs w:val="14"/>
                <w:color w:val="auto"/>
              </w:rPr>
              <w:t>1,087,620(5)</w:t>
            </w:r>
          </w:p>
        </w:tc>
        <w:tc>
          <w:tcPr>
            <w:tcW w:w="1020" w:type="dxa"/>
            <w:vAlign w:val="bottom"/>
            <w:shd w:val="clear" w:color="auto" w:fill="D7E8F5"/>
          </w:tcPr>
          <w:p>
            <w:pPr>
              <w:jc w:val="right"/>
              <w:ind w:right="188"/>
              <w:spacing w:after="0"/>
              <w:rPr>
                <w:sz w:val="20"/>
                <w:szCs w:val="20"/>
                <w:color w:val="auto"/>
              </w:rPr>
            </w:pPr>
            <w:r>
              <w:rPr>
                <w:rFonts w:ascii="Arial" w:cs="Arial" w:eastAsia="Arial" w:hAnsi="Arial"/>
                <w:sz w:val="14"/>
                <w:szCs w:val="14"/>
                <w:color w:val="auto"/>
              </w:rPr>
              <w:t>1,085,590</w:t>
            </w:r>
          </w:p>
        </w:tc>
        <w:tc>
          <w:tcPr>
            <w:tcW w:w="122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382,880</w:t>
            </w:r>
          </w:p>
        </w:tc>
        <w:tc>
          <w:tcPr>
            <w:tcW w:w="1160" w:type="dxa"/>
            <w:vAlign w:val="bottom"/>
            <w:shd w:val="clear" w:color="auto" w:fill="D7E8F5"/>
          </w:tcPr>
          <w:p>
            <w:pPr>
              <w:jc w:val="right"/>
              <w:spacing w:after="0"/>
              <w:rPr>
                <w:sz w:val="20"/>
                <w:szCs w:val="20"/>
                <w:color w:val="auto"/>
              </w:rPr>
            </w:pPr>
            <w:r>
              <w:rPr>
                <w:rFonts w:ascii="Arial" w:cs="Arial" w:eastAsia="Arial" w:hAnsi="Arial"/>
                <w:sz w:val="14"/>
                <w:szCs w:val="14"/>
                <w:color w:val="auto"/>
              </w:rPr>
              <w:t>18,100</w:t>
            </w:r>
          </w:p>
        </w:tc>
        <w:tc>
          <w:tcPr>
            <w:tcW w:w="860" w:type="dxa"/>
            <w:vAlign w:val="bottom"/>
            <w:shd w:val="clear" w:color="auto" w:fill="D7E8F5"/>
          </w:tcPr>
          <w:p>
            <w:pPr>
              <w:jc w:val="right"/>
              <w:ind w:right="88"/>
              <w:spacing w:after="0"/>
              <w:rPr>
                <w:sz w:val="20"/>
                <w:szCs w:val="20"/>
                <w:color w:val="auto"/>
              </w:rPr>
            </w:pPr>
            <w:r>
              <w:rPr>
                <w:rFonts w:ascii="Arial" w:cs="Arial" w:eastAsia="Arial" w:hAnsi="Arial"/>
                <w:sz w:val="14"/>
                <w:szCs w:val="14"/>
                <w:color w:val="auto"/>
              </w:rPr>
              <w:t>3,231,090</w:t>
            </w:r>
          </w:p>
        </w:tc>
      </w:tr>
      <w:tr>
        <w:trPr>
          <w:trHeight w:val="162"/>
        </w:trPr>
        <w:tc>
          <w:tcPr>
            <w:tcW w:w="3700" w:type="dxa"/>
            <w:vAlign w:val="bottom"/>
            <w:shd w:val="clear" w:color="auto" w:fill="D7E8F5"/>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Executive Vice President,</w:t>
            </w:r>
          </w:p>
        </w:tc>
        <w:tc>
          <w:tcPr>
            <w:tcW w:w="640" w:type="dxa"/>
            <w:vAlign w:val="bottom"/>
            <w:shd w:val="clear" w:color="auto" w:fill="D7E8F5"/>
          </w:tcPr>
          <w:p>
            <w:pPr>
              <w:ind w:left="200"/>
              <w:spacing w:after="0"/>
              <w:rPr>
                <w:sz w:val="20"/>
                <w:szCs w:val="20"/>
                <w:color w:val="auto"/>
              </w:rPr>
            </w:pPr>
            <w:r>
              <w:rPr>
                <w:rFonts w:ascii="Arial" w:cs="Arial" w:eastAsia="Arial" w:hAnsi="Arial"/>
                <w:sz w:val="14"/>
                <w:szCs w:val="14"/>
                <w:color w:val="auto"/>
              </w:rPr>
              <w:t>2022</w:t>
            </w:r>
          </w:p>
        </w:tc>
        <w:tc>
          <w:tcPr>
            <w:tcW w:w="74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625,000</w:t>
            </w:r>
          </w:p>
        </w:tc>
        <w:tc>
          <w:tcPr>
            <w:tcW w:w="640" w:type="dxa"/>
            <w:vAlign w:val="bottom"/>
            <w:shd w:val="clear" w:color="auto" w:fill="D7E8F5"/>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shd w:val="clear" w:color="auto" w:fill="D7E8F5"/>
          </w:tcPr>
          <w:p>
            <w:pPr>
              <w:ind w:left="380"/>
              <w:spacing w:after="0"/>
              <w:rPr>
                <w:sz w:val="20"/>
                <w:szCs w:val="20"/>
                <w:color w:val="auto"/>
              </w:rPr>
            </w:pPr>
            <w:r>
              <w:rPr>
                <w:rFonts w:ascii="Arial" w:cs="Arial" w:eastAsia="Arial" w:hAnsi="Arial"/>
                <w:sz w:val="14"/>
                <w:szCs w:val="14"/>
                <w:color w:val="auto"/>
                <w:w w:val="74"/>
              </w:rPr>
              <w:t>—    </w:t>
            </w:r>
          </w:p>
        </w:tc>
        <w:tc>
          <w:tcPr>
            <w:tcW w:w="340" w:type="dxa"/>
            <w:vAlign w:val="bottom"/>
            <w:shd w:val="clear" w:color="auto" w:fill="D7E8F5"/>
          </w:tcPr>
          <w:p>
            <w:pPr>
              <w:jc w:val="right"/>
              <w:ind w:right="48"/>
              <w:spacing w:after="0"/>
              <w:rPr>
                <w:sz w:val="20"/>
                <w:szCs w:val="20"/>
                <w:color w:val="auto"/>
              </w:rPr>
            </w:pPr>
            <w:r>
              <w:rPr>
                <w:rFonts w:ascii="Arial" w:cs="Arial" w:eastAsia="Arial" w:hAnsi="Arial"/>
                <w:sz w:val="14"/>
                <w:szCs w:val="14"/>
                <w:color w:val="auto"/>
              </w:rPr>
              <w:t>(6)</w:t>
            </w:r>
          </w:p>
        </w:tc>
        <w:tc>
          <w:tcPr>
            <w:tcW w:w="1020" w:type="dxa"/>
            <w:vAlign w:val="bottom"/>
            <w:shd w:val="clear" w:color="auto" w:fill="D7E8F5"/>
          </w:tcPr>
          <w:p>
            <w:pPr>
              <w:jc w:val="right"/>
              <w:ind w:right="188"/>
              <w:spacing w:after="0"/>
              <w:rPr>
                <w:sz w:val="20"/>
                <w:szCs w:val="20"/>
                <w:color w:val="auto"/>
              </w:rPr>
            </w:pPr>
            <w:r>
              <w:rPr>
                <w:rFonts w:ascii="Arial" w:cs="Arial" w:eastAsia="Arial" w:hAnsi="Arial"/>
                <w:sz w:val="14"/>
                <w:szCs w:val="14"/>
                <w:color w:val="auto"/>
              </w:rPr>
              <w:t>1,899,100</w:t>
            </w:r>
          </w:p>
        </w:tc>
        <w:tc>
          <w:tcPr>
            <w:tcW w:w="122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359,380</w:t>
            </w:r>
          </w:p>
        </w:tc>
        <w:tc>
          <w:tcPr>
            <w:tcW w:w="1160" w:type="dxa"/>
            <w:vAlign w:val="bottom"/>
            <w:shd w:val="clear" w:color="auto" w:fill="D7E8F5"/>
          </w:tcPr>
          <w:p>
            <w:pPr>
              <w:jc w:val="right"/>
              <w:spacing w:after="0"/>
              <w:rPr>
                <w:sz w:val="20"/>
                <w:szCs w:val="20"/>
                <w:color w:val="auto"/>
              </w:rPr>
            </w:pPr>
            <w:r>
              <w:rPr>
                <w:rFonts w:ascii="Arial" w:cs="Arial" w:eastAsia="Arial" w:hAnsi="Arial"/>
                <w:sz w:val="14"/>
                <w:szCs w:val="14"/>
                <w:color w:val="auto"/>
              </w:rPr>
              <w:t>17,100</w:t>
            </w:r>
          </w:p>
        </w:tc>
        <w:tc>
          <w:tcPr>
            <w:tcW w:w="860" w:type="dxa"/>
            <w:vAlign w:val="bottom"/>
            <w:shd w:val="clear" w:color="auto" w:fill="D7E8F5"/>
          </w:tcPr>
          <w:p>
            <w:pPr>
              <w:jc w:val="right"/>
              <w:ind w:right="88"/>
              <w:spacing w:after="0"/>
              <w:rPr>
                <w:sz w:val="20"/>
                <w:szCs w:val="20"/>
                <w:color w:val="auto"/>
              </w:rPr>
            </w:pPr>
            <w:r>
              <w:rPr>
                <w:rFonts w:ascii="Arial" w:cs="Arial" w:eastAsia="Arial" w:hAnsi="Arial"/>
                <w:sz w:val="14"/>
                <w:szCs w:val="14"/>
                <w:color w:val="auto"/>
              </w:rPr>
              <w:t>2,900,580</w:t>
            </w:r>
          </w:p>
        </w:tc>
      </w:tr>
      <w:tr>
        <w:trPr>
          <w:trHeight w:val="196"/>
        </w:trPr>
        <w:tc>
          <w:tcPr>
            <w:tcW w:w="3700" w:type="dxa"/>
            <w:vAlign w:val="bottom"/>
            <w:tcBorders>
              <w:bottom w:val="single" w:sz="8" w:color="D7E8F5"/>
            </w:tcBorders>
            <w:shd w:val="clear" w:color="auto" w:fill="D7E8F5"/>
          </w:tcPr>
          <w:p>
            <w:pPr>
              <w:ind w:left="140"/>
              <w:spacing w:after="0"/>
              <w:rPr>
                <w:sz w:val="20"/>
                <w:szCs w:val="20"/>
                <w:color w:val="auto"/>
              </w:rPr>
            </w:pPr>
            <w:r>
              <w:rPr>
                <w:rFonts w:ascii="Arial" w:cs="Arial" w:eastAsia="Arial" w:hAnsi="Arial"/>
                <w:sz w:val="14"/>
                <w:szCs w:val="14"/>
                <w:i w:val="1"/>
                <w:iCs w:val="1"/>
                <w:color w:val="auto"/>
              </w:rPr>
              <w:t>  Chief Medical Officer</w:t>
            </w:r>
          </w:p>
        </w:tc>
        <w:tc>
          <w:tcPr>
            <w:tcW w:w="640" w:type="dxa"/>
            <w:vAlign w:val="bottom"/>
            <w:tcBorders>
              <w:bottom w:val="single" w:sz="8" w:color="D7E8F5"/>
            </w:tcBorders>
            <w:shd w:val="clear" w:color="auto" w:fill="D7E8F5"/>
          </w:tcPr>
          <w:p>
            <w:pPr>
              <w:ind w:left="200"/>
              <w:spacing w:after="0"/>
              <w:rPr>
                <w:sz w:val="20"/>
                <w:szCs w:val="20"/>
                <w:color w:val="auto"/>
              </w:rPr>
            </w:pPr>
            <w:r>
              <w:rPr>
                <w:rFonts w:ascii="Arial" w:cs="Arial" w:eastAsia="Arial" w:hAnsi="Arial"/>
                <w:sz w:val="14"/>
                <w:szCs w:val="14"/>
                <w:color w:val="auto"/>
              </w:rPr>
              <w:t>2021</w:t>
            </w:r>
          </w:p>
        </w:tc>
        <w:tc>
          <w:tcPr>
            <w:tcW w:w="740" w:type="dxa"/>
            <w:vAlign w:val="bottom"/>
            <w:tcBorders>
              <w:bottom w:val="single" w:sz="8" w:color="D7E8F5"/>
            </w:tcBorders>
            <w:shd w:val="clear" w:color="auto" w:fill="D7E8F5"/>
          </w:tcPr>
          <w:p>
            <w:pPr>
              <w:jc w:val="right"/>
              <w:ind w:right="28"/>
              <w:spacing w:after="0"/>
              <w:rPr>
                <w:sz w:val="20"/>
                <w:szCs w:val="20"/>
                <w:color w:val="auto"/>
              </w:rPr>
            </w:pPr>
            <w:r>
              <w:rPr>
                <w:rFonts w:ascii="Arial" w:cs="Arial" w:eastAsia="Arial" w:hAnsi="Arial"/>
                <w:sz w:val="14"/>
                <w:szCs w:val="14"/>
                <w:color w:val="auto"/>
              </w:rPr>
              <w:t>568,900</w:t>
            </w:r>
          </w:p>
        </w:tc>
        <w:tc>
          <w:tcPr>
            <w:tcW w:w="64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D7E8F5"/>
            </w:tcBorders>
            <w:shd w:val="clear" w:color="auto" w:fill="D7E8F5"/>
          </w:tcPr>
          <w:p>
            <w:pPr>
              <w:ind w:left="380"/>
              <w:spacing w:after="0"/>
              <w:rPr>
                <w:sz w:val="20"/>
                <w:szCs w:val="20"/>
                <w:color w:val="auto"/>
              </w:rPr>
            </w:pPr>
            <w:r>
              <w:rPr>
                <w:rFonts w:ascii="Arial" w:cs="Arial" w:eastAsia="Arial" w:hAnsi="Arial"/>
                <w:sz w:val="14"/>
                <w:szCs w:val="14"/>
                <w:color w:val="auto"/>
                <w:w w:val="74"/>
              </w:rPr>
              <w:t>—    </w:t>
            </w:r>
          </w:p>
        </w:tc>
        <w:tc>
          <w:tcPr>
            <w:tcW w:w="340" w:type="dxa"/>
            <w:vAlign w:val="bottom"/>
            <w:tcBorders>
              <w:bottom w:val="single" w:sz="8" w:color="D7E8F5"/>
            </w:tcBorders>
            <w:shd w:val="clear" w:color="auto" w:fill="D7E8F5"/>
          </w:tcPr>
          <w:p>
            <w:pPr>
              <w:jc w:val="right"/>
              <w:ind w:right="48"/>
              <w:spacing w:after="0"/>
              <w:rPr>
                <w:sz w:val="20"/>
                <w:szCs w:val="20"/>
                <w:color w:val="auto"/>
              </w:rPr>
            </w:pPr>
            <w:r>
              <w:rPr>
                <w:rFonts w:ascii="Arial" w:cs="Arial" w:eastAsia="Arial" w:hAnsi="Arial"/>
                <w:sz w:val="14"/>
                <w:szCs w:val="14"/>
                <w:color w:val="auto"/>
              </w:rPr>
              <w:t>(6)</w:t>
            </w:r>
          </w:p>
        </w:tc>
        <w:tc>
          <w:tcPr>
            <w:tcW w:w="1020" w:type="dxa"/>
            <w:vAlign w:val="bottom"/>
            <w:tcBorders>
              <w:bottom w:val="single" w:sz="8" w:color="D7E8F5"/>
            </w:tcBorders>
            <w:shd w:val="clear" w:color="auto" w:fill="D7E8F5"/>
          </w:tcPr>
          <w:p>
            <w:pPr>
              <w:jc w:val="right"/>
              <w:ind w:right="188"/>
              <w:spacing w:after="0"/>
              <w:rPr>
                <w:sz w:val="20"/>
                <w:szCs w:val="20"/>
                <w:color w:val="auto"/>
              </w:rPr>
            </w:pPr>
            <w:r>
              <w:rPr>
                <w:rFonts w:ascii="Arial" w:cs="Arial" w:eastAsia="Arial" w:hAnsi="Arial"/>
                <w:sz w:val="14"/>
                <w:szCs w:val="14"/>
                <w:color w:val="auto"/>
              </w:rPr>
              <w:t>3,084,650</w:t>
            </w:r>
          </w:p>
        </w:tc>
        <w:tc>
          <w:tcPr>
            <w:tcW w:w="1220" w:type="dxa"/>
            <w:vAlign w:val="bottom"/>
            <w:tcBorders>
              <w:bottom w:val="single" w:sz="8" w:color="D7E8F5"/>
            </w:tcBorders>
            <w:shd w:val="clear" w:color="auto" w:fill="D7E8F5"/>
          </w:tcPr>
          <w:p>
            <w:pPr>
              <w:jc w:val="right"/>
              <w:ind w:right="28"/>
              <w:spacing w:after="0"/>
              <w:rPr>
                <w:sz w:val="20"/>
                <w:szCs w:val="20"/>
                <w:color w:val="auto"/>
              </w:rPr>
            </w:pPr>
            <w:r>
              <w:rPr>
                <w:rFonts w:ascii="Arial" w:cs="Arial" w:eastAsia="Arial" w:hAnsi="Arial"/>
                <w:sz w:val="14"/>
                <w:szCs w:val="14"/>
                <w:color w:val="auto"/>
              </w:rPr>
              <w:t>380,220</w:t>
            </w:r>
          </w:p>
        </w:tc>
        <w:tc>
          <w:tcPr>
            <w:tcW w:w="116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4"/>
                <w:szCs w:val="14"/>
                <w:color w:val="auto"/>
              </w:rPr>
              <w:t>14,220</w:t>
            </w:r>
          </w:p>
        </w:tc>
        <w:tc>
          <w:tcPr>
            <w:tcW w:w="860" w:type="dxa"/>
            <w:vAlign w:val="bottom"/>
            <w:tcBorders>
              <w:bottom w:val="single" w:sz="8" w:color="D7E8F5"/>
            </w:tcBorders>
            <w:shd w:val="clear" w:color="auto" w:fill="D7E8F5"/>
          </w:tcPr>
          <w:p>
            <w:pPr>
              <w:jc w:val="right"/>
              <w:ind w:right="88"/>
              <w:spacing w:after="0"/>
              <w:rPr>
                <w:sz w:val="20"/>
                <w:szCs w:val="20"/>
                <w:color w:val="auto"/>
              </w:rPr>
            </w:pPr>
            <w:r>
              <w:rPr>
                <w:rFonts w:ascii="Arial" w:cs="Arial" w:eastAsia="Arial" w:hAnsi="Arial"/>
                <w:sz w:val="14"/>
                <w:szCs w:val="14"/>
                <w:color w:val="auto"/>
              </w:rPr>
              <w:t>4,047,990</w:t>
            </w:r>
          </w:p>
        </w:tc>
      </w:tr>
      <w:tr>
        <w:trPr>
          <w:trHeight w:val="207"/>
        </w:trPr>
        <w:tc>
          <w:tcPr>
            <w:tcW w:w="3700" w:type="dxa"/>
            <w:vAlign w:val="bottom"/>
          </w:tcPr>
          <w:p>
            <w:pPr>
              <w:spacing w:after="0"/>
              <w:rPr>
                <w:sz w:val="20"/>
                <w:szCs w:val="20"/>
                <w:color w:val="auto"/>
              </w:rPr>
            </w:pPr>
            <w:r>
              <w:rPr>
                <w:rFonts w:ascii="Arial" w:cs="Arial" w:eastAsia="Arial" w:hAnsi="Arial"/>
                <w:sz w:val="14"/>
                <w:szCs w:val="14"/>
                <w:color w:val="auto"/>
              </w:rPr>
              <w:t>  Tolga Tanguler</w:t>
            </w:r>
          </w:p>
        </w:tc>
        <w:tc>
          <w:tcPr>
            <w:tcW w:w="640" w:type="dxa"/>
            <w:vAlign w:val="bottom"/>
          </w:tcPr>
          <w:p>
            <w:pPr>
              <w:ind w:left="200"/>
              <w:spacing w:after="0"/>
              <w:rPr>
                <w:sz w:val="20"/>
                <w:szCs w:val="20"/>
                <w:color w:val="auto"/>
              </w:rPr>
            </w:pPr>
            <w:r>
              <w:rPr>
                <w:rFonts w:ascii="Arial" w:cs="Arial" w:eastAsia="Arial" w:hAnsi="Arial"/>
                <w:sz w:val="14"/>
                <w:szCs w:val="14"/>
                <w:color w:val="auto"/>
              </w:rPr>
              <w:t>2023</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603,200</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950,050(5)</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948,360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352,280</w:t>
            </w:r>
          </w:p>
        </w:tc>
        <w:tc>
          <w:tcPr>
            <w:tcW w:w="1160" w:type="dxa"/>
            <w:vAlign w:val="bottom"/>
          </w:tcPr>
          <w:p>
            <w:pPr>
              <w:jc w:val="right"/>
              <w:spacing w:after="0"/>
              <w:rPr>
                <w:sz w:val="20"/>
                <w:szCs w:val="20"/>
                <w:color w:val="auto"/>
              </w:rPr>
            </w:pPr>
            <w:r>
              <w:rPr>
                <w:rFonts w:ascii="Arial" w:cs="Arial" w:eastAsia="Arial" w:hAnsi="Arial"/>
                <w:sz w:val="14"/>
                <w:szCs w:val="14"/>
                <w:color w:val="auto"/>
              </w:rPr>
              <w:t>15,820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2,869,710</w:t>
            </w:r>
          </w:p>
        </w:tc>
      </w:tr>
      <w:tr>
        <w:trPr>
          <w:trHeight w:val="162"/>
        </w:trPr>
        <w:tc>
          <w:tcPr>
            <w:tcW w:w="3700" w:type="dxa"/>
            <w:vAlign w:val="bottom"/>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Executive Vice President,</w:t>
            </w:r>
          </w:p>
        </w:tc>
        <w:tc>
          <w:tcPr>
            <w:tcW w:w="640" w:type="dxa"/>
            <w:vAlign w:val="bottom"/>
          </w:tcPr>
          <w:p>
            <w:pPr>
              <w:ind w:left="200"/>
              <w:spacing w:after="0"/>
              <w:rPr>
                <w:sz w:val="20"/>
                <w:szCs w:val="20"/>
                <w:color w:val="auto"/>
              </w:rPr>
            </w:pPr>
            <w:r>
              <w:rPr>
                <w:rFonts w:ascii="Arial" w:cs="Arial" w:eastAsia="Arial" w:hAnsi="Arial"/>
                <w:sz w:val="14"/>
                <w:szCs w:val="14"/>
                <w:color w:val="auto"/>
              </w:rPr>
              <w:t>2022</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564,800</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ind w:left="380"/>
              <w:spacing w:after="0"/>
              <w:rPr>
                <w:sz w:val="20"/>
                <w:szCs w:val="20"/>
                <w:color w:val="auto"/>
              </w:rPr>
            </w:pPr>
            <w:r>
              <w:rPr>
                <w:rFonts w:ascii="Arial" w:cs="Arial" w:eastAsia="Arial" w:hAnsi="Arial"/>
                <w:sz w:val="14"/>
                <w:szCs w:val="14"/>
                <w:color w:val="auto"/>
                <w:w w:val="74"/>
              </w:rPr>
              <w:t>—    </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1,449,280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326,370</w:t>
            </w:r>
          </w:p>
        </w:tc>
        <w:tc>
          <w:tcPr>
            <w:tcW w:w="1160" w:type="dxa"/>
            <w:vAlign w:val="bottom"/>
          </w:tcPr>
          <w:p>
            <w:pPr>
              <w:jc w:val="right"/>
              <w:spacing w:after="0"/>
              <w:rPr>
                <w:sz w:val="20"/>
                <w:szCs w:val="20"/>
                <w:color w:val="auto"/>
              </w:rPr>
            </w:pPr>
            <w:r>
              <w:rPr>
                <w:rFonts w:ascii="Arial" w:cs="Arial" w:eastAsia="Arial" w:hAnsi="Arial"/>
                <w:sz w:val="14"/>
                <w:szCs w:val="14"/>
                <w:color w:val="auto"/>
              </w:rPr>
              <w:t>11,620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2,352,070</w:t>
            </w:r>
          </w:p>
        </w:tc>
      </w:tr>
      <w:tr>
        <w:trPr>
          <w:trHeight w:val="190"/>
        </w:trPr>
        <w:tc>
          <w:tcPr>
            <w:tcW w:w="3700" w:type="dxa"/>
            <w:vAlign w:val="bottom"/>
          </w:tcPr>
          <w:p>
            <w:pPr>
              <w:ind w:left="140"/>
              <w:spacing w:after="0"/>
              <w:rPr>
                <w:sz w:val="20"/>
                <w:szCs w:val="20"/>
                <w:color w:val="auto"/>
              </w:rPr>
            </w:pPr>
            <w:r>
              <w:rPr>
                <w:rFonts w:ascii="Arial" w:cs="Arial" w:eastAsia="Arial" w:hAnsi="Arial"/>
                <w:sz w:val="14"/>
                <w:szCs w:val="14"/>
                <w:i w:val="1"/>
                <w:iCs w:val="1"/>
                <w:color w:val="auto"/>
              </w:rPr>
              <w:t>  Chief Commercial Officer</w:t>
            </w:r>
          </w:p>
        </w:tc>
        <w:tc>
          <w:tcPr>
            <w:tcW w:w="640" w:type="dxa"/>
            <w:vAlign w:val="bottom"/>
          </w:tcPr>
          <w:p>
            <w:pPr>
              <w:ind w:left="200"/>
              <w:spacing w:after="0"/>
              <w:rPr>
                <w:sz w:val="20"/>
                <w:szCs w:val="20"/>
                <w:color w:val="auto"/>
              </w:rPr>
            </w:pPr>
            <w:r>
              <w:rPr>
                <w:rFonts w:ascii="Arial" w:cs="Arial" w:eastAsia="Arial" w:hAnsi="Arial"/>
                <w:sz w:val="14"/>
                <w:szCs w:val="14"/>
                <w:color w:val="auto"/>
              </w:rPr>
              <w:t>2021</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547,900</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1,500,110(7)</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4,501,220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316,250</w:t>
            </w:r>
          </w:p>
        </w:tc>
        <w:tc>
          <w:tcPr>
            <w:tcW w:w="1160" w:type="dxa"/>
            <w:vAlign w:val="bottom"/>
          </w:tcPr>
          <w:p>
            <w:pPr>
              <w:jc w:val="right"/>
              <w:spacing w:after="0"/>
              <w:rPr>
                <w:sz w:val="20"/>
                <w:szCs w:val="20"/>
                <w:color w:val="auto"/>
              </w:rPr>
            </w:pPr>
            <w:r>
              <w:rPr>
                <w:rFonts w:ascii="Arial" w:cs="Arial" w:eastAsia="Arial" w:hAnsi="Arial"/>
                <w:sz w:val="14"/>
                <w:szCs w:val="14"/>
                <w:color w:val="auto"/>
              </w:rPr>
              <w:t>11,710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6,877,190</w:t>
            </w:r>
          </w:p>
        </w:tc>
      </w:tr>
      <w:tr>
        <w:trPr>
          <w:trHeight w:val="35"/>
        </w:trPr>
        <w:tc>
          <w:tcPr>
            <w:tcW w:w="3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7"/>
        </w:trPr>
        <w:tc>
          <w:tcPr>
            <w:tcW w:w="3700" w:type="dxa"/>
            <w:vAlign w:val="bottom"/>
            <w:shd w:val="clear" w:color="auto" w:fill="D7E8F5"/>
          </w:tcPr>
          <w:p>
            <w:pPr>
              <w:spacing w:after="0"/>
              <w:rPr>
                <w:sz w:val="20"/>
                <w:szCs w:val="20"/>
                <w:color w:val="auto"/>
              </w:rPr>
            </w:pPr>
            <w:r>
              <w:rPr>
                <w:rFonts w:ascii="Arial" w:cs="Arial" w:eastAsia="Arial" w:hAnsi="Arial"/>
                <w:sz w:val="14"/>
                <w:szCs w:val="14"/>
                <w:color w:val="auto"/>
              </w:rPr>
              <w:t>  Indrani L. Franchini, J.D. (11)</w:t>
            </w:r>
          </w:p>
        </w:tc>
        <w:tc>
          <w:tcPr>
            <w:tcW w:w="640" w:type="dxa"/>
            <w:vAlign w:val="bottom"/>
            <w:shd w:val="clear" w:color="auto" w:fill="D7E8F5"/>
          </w:tcPr>
          <w:p>
            <w:pPr>
              <w:ind w:left="200"/>
              <w:spacing w:after="0"/>
              <w:rPr>
                <w:sz w:val="20"/>
                <w:szCs w:val="20"/>
                <w:color w:val="auto"/>
              </w:rPr>
            </w:pPr>
            <w:r>
              <w:rPr>
                <w:rFonts w:ascii="Arial" w:cs="Arial" w:eastAsia="Arial" w:hAnsi="Arial"/>
                <w:sz w:val="14"/>
                <w:szCs w:val="14"/>
                <w:color w:val="auto"/>
              </w:rPr>
              <w:t>2023</w:t>
            </w:r>
          </w:p>
        </w:tc>
        <w:tc>
          <w:tcPr>
            <w:tcW w:w="74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594,300</w:t>
            </w:r>
          </w:p>
        </w:tc>
        <w:tc>
          <w:tcPr>
            <w:tcW w:w="640" w:type="dxa"/>
            <w:vAlign w:val="bottom"/>
            <w:shd w:val="clear" w:color="auto" w:fill="D7E8F5"/>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D7E8F5"/>
          </w:tcPr>
          <w:p>
            <w:pPr>
              <w:jc w:val="right"/>
              <w:ind w:right="48"/>
              <w:spacing w:after="0"/>
              <w:rPr>
                <w:sz w:val="20"/>
                <w:szCs w:val="20"/>
                <w:color w:val="auto"/>
              </w:rPr>
            </w:pPr>
            <w:r>
              <w:rPr>
                <w:rFonts w:ascii="Arial" w:cs="Arial" w:eastAsia="Arial" w:hAnsi="Arial"/>
                <w:sz w:val="14"/>
                <w:szCs w:val="14"/>
                <w:color w:val="auto"/>
              </w:rPr>
              <w:t>500,110(5)</w:t>
            </w:r>
          </w:p>
        </w:tc>
        <w:tc>
          <w:tcPr>
            <w:tcW w:w="1020" w:type="dxa"/>
            <w:vAlign w:val="bottom"/>
            <w:shd w:val="clear" w:color="auto" w:fill="D7E8F5"/>
          </w:tcPr>
          <w:p>
            <w:pPr>
              <w:jc w:val="right"/>
              <w:ind w:right="188"/>
              <w:spacing w:after="0"/>
              <w:rPr>
                <w:sz w:val="20"/>
                <w:szCs w:val="20"/>
                <w:color w:val="auto"/>
              </w:rPr>
            </w:pPr>
            <w:r>
              <w:rPr>
                <w:rFonts w:ascii="Arial" w:cs="Arial" w:eastAsia="Arial" w:hAnsi="Arial"/>
                <w:sz w:val="14"/>
                <w:szCs w:val="14"/>
                <w:color w:val="auto"/>
              </w:rPr>
              <w:t>499,190</w:t>
            </w:r>
          </w:p>
        </w:tc>
        <w:tc>
          <w:tcPr>
            <w:tcW w:w="122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344,770</w:t>
            </w:r>
          </w:p>
        </w:tc>
        <w:tc>
          <w:tcPr>
            <w:tcW w:w="1160" w:type="dxa"/>
            <w:vAlign w:val="bottom"/>
            <w:shd w:val="clear" w:color="auto" w:fill="D7E8F5"/>
          </w:tcPr>
          <w:p>
            <w:pPr>
              <w:jc w:val="right"/>
              <w:spacing w:after="0"/>
              <w:rPr>
                <w:sz w:val="20"/>
                <w:szCs w:val="20"/>
                <w:color w:val="auto"/>
              </w:rPr>
            </w:pPr>
            <w:r>
              <w:rPr>
                <w:rFonts w:ascii="Arial" w:cs="Arial" w:eastAsia="Arial" w:hAnsi="Arial"/>
                <w:sz w:val="14"/>
                <w:szCs w:val="14"/>
                <w:color w:val="auto"/>
              </w:rPr>
              <w:t>31,570</w:t>
            </w:r>
          </w:p>
        </w:tc>
        <w:tc>
          <w:tcPr>
            <w:tcW w:w="860" w:type="dxa"/>
            <w:vAlign w:val="bottom"/>
            <w:shd w:val="clear" w:color="auto" w:fill="D7E8F5"/>
          </w:tcPr>
          <w:p>
            <w:pPr>
              <w:jc w:val="right"/>
              <w:ind w:right="88"/>
              <w:spacing w:after="0"/>
              <w:rPr>
                <w:sz w:val="20"/>
                <w:szCs w:val="20"/>
                <w:color w:val="auto"/>
              </w:rPr>
            </w:pPr>
            <w:r>
              <w:rPr>
                <w:rFonts w:ascii="Arial" w:cs="Arial" w:eastAsia="Arial" w:hAnsi="Arial"/>
                <w:sz w:val="14"/>
                <w:szCs w:val="14"/>
                <w:color w:val="auto"/>
              </w:rPr>
              <w:t>1,969,940</w:t>
            </w:r>
          </w:p>
        </w:tc>
      </w:tr>
      <w:tr>
        <w:trPr>
          <w:trHeight w:val="185"/>
        </w:trPr>
        <w:tc>
          <w:tcPr>
            <w:tcW w:w="3700" w:type="dxa"/>
            <w:vAlign w:val="bottom"/>
            <w:shd w:val="clear" w:color="auto" w:fill="D7E8F5"/>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Executive Vice President,</w:t>
            </w:r>
          </w:p>
        </w:tc>
        <w:tc>
          <w:tcPr>
            <w:tcW w:w="640" w:type="dxa"/>
            <w:vAlign w:val="bottom"/>
            <w:shd w:val="clear" w:color="auto" w:fill="D7E8F5"/>
          </w:tcPr>
          <w:p>
            <w:pPr>
              <w:ind w:left="200"/>
              <w:spacing w:after="0"/>
              <w:rPr>
                <w:sz w:val="20"/>
                <w:szCs w:val="20"/>
                <w:color w:val="auto"/>
              </w:rPr>
            </w:pPr>
            <w:r>
              <w:rPr>
                <w:rFonts w:ascii="Arial" w:cs="Arial" w:eastAsia="Arial" w:hAnsi="Arial"/>
                <w:sz w:val="14"/>
                <w:szCs w:val="14"/>
                <w:color w:val="auto"/>
              </w:rPr>
              <w:t>2022</w:t>
            </w:r>
          </w:p>
        </w:tc>
        <w:tc>
          <w:tcPr>
            <w:tcW w:w="74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535,400</w:t>
            </w:r>
          </w:p>
        </w:tc>
        <w:tc>
          <w:tcPr>
            <w:tcW w:w="640" w:type="dxa"/>
            <w:vAlign w:val="bottom"/>
            <w:shd w:val="clear" w:color="auto" w:fill="D7E8F5"/>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D7E8F5"/>
          </w:tcPr>
          <w:p>
            <w:pPr>
              <w:jc w:val="right"/>
              <w:ind w:right="48"/>
              <w:spacing w:after="0"/>
              <w:rPr>
                <w:sz w:val="20"/>
                <w:szCs w:val="20"/>
                <w:color w:val="auto"/>
              </w:rPr>
            </w:pPr>
            <w:r>
              <w:rPr>
                <w:rFonts w:ascii="Arial" w:cs="Arial" w:eastAsia="Arial" w:hAnsi="Arial"/>
                <w:sz w:val="14"/>
                <w:szCs w:val="14"/>
                <w:color w:val="auto"/>
              </w:rPr>
              <w:t>2,250,040(8)</w:t>
            </w:r>
          </w:p>
        </w:tc>
        <w:tc>
          <w:tcPr>
            <w:tcW w:w="1020" w:type="dxa"/>
            <w:vAlign w:val="bottom"/>
            <w:shd w:val="clear" w:color="auto" w:fill="D7E8F5"/>
          </w:tcPr>
          <w:p>
            <w:pPr>
              <w:jc w:val="right"/>
              <w:ind w:right="188"/>
              <w:spacing w:after="0"/>
              <w:rPr>
                <w:sz w:val="20"/>
                <w:szCs w:val="20"/>
                <w:color w:val="auto"/>
              </w:rPr>
            </w:pPr>
            <w:r>
              <w:rPr>
                <w:rFonts w:ascii="Arial" w:cs="Arial" w:eastAsia="Arial" w:hAnsi="Arial"/>
                <w:sz w:val="14"/>
                <w:szCs w:val="14"/>
                <w:color w:val="auto"/>
              </w:rPr>
              <w:t>2,247,940</w:t>
            </w:r>
          </w:p>
        </w:tc>
        <w:tc>
          <w:tcPr>
            <w:tcW w:w="1220" w:type="dxa"/>
            <w:vAlign w:val="bottom"/>
            <w:shd w:val="clear" w:color="auto" w:fill="D7E8F5"/>
          </w:tcPr>
          <w:p>
            <w:pPr>
              <w:jc w:val="right"/>
              <w:ind w:right="28"/>
              <w:spacing w:after="0"/>
              <w:rPr>
                <w:sz w:val="20"/>
                <w:szCs w:val="20"/>
                <w:color w:val="auto"/>
              </w:rPr>
            </w:pPr>
            <w:r>
              <w:rPr>
                <w:rFonts w:ascii="Arial" w:cs="Arial" w:eastAsia="Arial" w:hAnsi="Arial"/>
                <w:sz w:val="14"/>
                <w:szCs w:val="14"/>
                <w:color w:val="auto"/>
              </w:rPr>
              <w:t>333,500</w:t>
            </w:r>
          </w:p>
        </w:tc>
        <w:tc>
          <w:tcPr>
            <w:tcW w:w="1160" w:type="dxa"/>
            <w:vAlign w:val="bottom"/>
            <w:shd w:val="clear" w:color="auto" w:fill="D7E8F5"/>
          </w:tcPr>
          <w:p>
            <w:pPr>
              <w:jc w:val="right"/>
              <w:spacing w:after="0"/>
              <w:rPr>
                <w:sz w:val="20"/>
                <w:szCs w:val="20"/>
                <w:color w:val="auto"/>
              </w:rPr>
            </w:pPr>
            <w:r>
              <w:rPr>
                <w:rFonts w:ascii="Arial" w:cs="Arial" w:eastAsia="Arial" w:hAnsi="Arial"/>
                <w:sz w:val="14"/>
                <w:szCs w:val="14"/>
                <w:color w:val="auto"/>
              </w:rPr>
              <w:t>41,340</w:t>
            </w:r>
          </w:p>
        </w:tc>
        <w:tc>
          <w:tcPr>
            <w:tcW w:w="860" w:type="dxa"/>
            <w:vAlign w:val="bottom"/>
            <w:shd w:val="clear" w:color="auto" w:fill="D7E8F5"/>
          </w:tcPr>
          <w:p>
            <w:pPr>
              <w:jc w:val="right"/>
              <w:ind w:right="88"/>
              <w:spacing w:after="0"/>
              <w:rPr>
                <w:sz w:val="20"/>
                <w:szCs w:val="20"/>
                <w:color w:val="auto"/>
              </w:rPr>
            </w:pPr>
            <w:r>
              <w:rPr>
                <w:rFonts w:ascii="Arial" w:cs="Arial" w:eastAsia="Arial" w:hAnsi="Arial"/>
                <w:sz w:val="14"/>
                <w:szCs w:val="14"/>
                <w:color w:val="auto"/>
              </w:rPr>
              <w:t>5,408,220</w:t>
            </w:r>
          </w:p>
        </w:tc>
      </w:tr>
      <w:tr>
        <w:trPr>
          <w:trHeight w:val="149"/>
        </w:trPr>
        <w:tc>
          <w:tcPr>
            <w:tcW w:w="3700" w:type="dxa"/>
            <w:vAlign w:val="bottom"/>
            <w:shd w:val="clear" w:color="auto" w:fill="D7E8F5"/>
          </w:tcPr>
          <w:p>
            <w:pPr>
              <w:ind w:left="140"/>
              <w:spacing w:after="0" w:line="149" w:lineRule="exact"/>
              <w:rPr>
                <w:sz w:val="20"/>
                <w:szCs w:val="20"/>
                <w:color w:val="auto"/>
              </w:rPr>
            </w:pPr>
            <w:r>
              <w:rPr>
                <w:rFonts w:ascii="Arial" w:cs="Arial" w:eastAsia="Arial" w:hAnsi="Arial"/>
                <w:sz w:val="14"/>
                <w:szCs w:val="14"/>
                <w:i w:val="1"/>
                <w:iCs w:val="1"/>
                <w:color w:val="auto"/>
              </w:rPr>
              <w:t>  Chief Legal Officer</w:t>
            </w:r>
          </w:p>
        </w:tc>
        <w:tc>
          <w:tcPr>
            <w:tcW w:w="640" w:type="dxa"/>
            <w:vAlign w:val="bottom"/>
            <w:shd w:val="clear" w:color="auto" w:fill="D7E8F5"/>
          </w:tcPr>
          <w:p>
            <w:pPr>
              <w:spacing w:after="0"/>
              <w:rPr>
                <w:sz w:val="12"/>
                <w:szCs w:val="12"/>
                <w:color w:val="auto"/>
              </w:rPr>
            </w:pPr>
          </w:p>
        </w:tc>
        <w:tc>
          <w:tcPr>
            <w:tcW w:w="740" w:type="dxa"/>
            <w:vAlign w:val="bottom"/>
            <w:shd w:val="clear" w:color="auto" w:fill="D7E8F5"/>
          </w:tcPr>
          <w:p>
            <w:pPr>
              <w:spacing w:after="0"/>
              <w:rPr>
                <w:sz w:val="12"/>
                <w:szCs w:val="12"/>
                <w:color w:val="auto"/>
              </w:rPr>
            </w:pPr>
          </w:p>
        </w:tc>
        <w:tc>
          <w:tcPr>
            <w:tcW w:w="640" w:type="dxa"/>
            <w:vAlign w:val="bottom"/>
            <w:shd w:val="clear" w:color="auto" w:fill="D7E8F5"/>
          </w:tcPr>
          <w:p>
            <w:pPr>
              <w:spacing w:after="0"/>
              <w:rPr>
                <w:sz w:val="12"/>
                <w:szCs w:val="12"/>
                <w:color w:val="auto"/>
              </w:rPr>
            </w:pPr>
          </w:p>
        </w:tc>
        <w:tc>
          <w:tcPr>
            <w:tcW w:w="700" w:type="dxa"/>
            <w:vAlign w:val="bottom"/>
            <w:shd w:val="clear" w:color="auto" w:fill="D7E8F5"/>
          </w:tcPr>
          <w:p>
            <w:pPr>
              <w:spacing w:after="0"/>
              <w:rPr>
                <w:sz w:val="12"/>
                <w:szCs w:val="12"/>
                <w:color w:val="auto"/>
              </w:rPr>
            </w:pPr>
          </w:p>
        </w:tc>
        <w:tc>
          <w:tcPr>
            <w:tcW w:w="340" w:type="dxa"/>
            <w:vAlign w:val="bottom"/>
            <w:shd w:val="clear" w:color="auto" w:fill="D7E8F5"/>
          </w:tcPr>
          <w:p>
            <w:pPr>
              <w:spacing w:after="0"/>
              <w:rPr>
                <w:sz w:val="12"/>
                <w:szCs w:val="12"/>
                <w:color w:val="auto"/>
              </w:rPr>
            </w:pPr>
          </w:p>
        </w:tc>
        <w:tc>
          <w:tcPr>
            <w:tcW w:w="1020" w:type="dxa"/>
            <w:vAlign w:val="bottom"/>
            <w:shd w:val="clear" w:color="auto" w:fill="D7E8F5"/>
          </w:tcPr>
          <w:p>
            <w:pPr>
              <w:spacing w:after="0"/>
              <w:rPr>
                <w:sz w:val="12"/>
                <w:szCs w:val="12"/>
                <w:color w:val="auto"/>
              </w:rPr>
            </w:pPr>
          </w:p>
        </w:tc>
        <w:tc>
          <w:tcPr>
            <w:tcW w:w="1220" w:type="dxa"/>
            <w:vAlign w:val="bottom"/>
            <w:shd w:val="clear" w:color="auto" w:fill="D7E8F5"/>
          </w:tcPr>
          <w:p>
            <w:pPr>
              <w:spacing w:after="0"/>
              <w:rPr>
                <w:sz w:val="12"/>
                <w:szCs w:val="12"/>
                <w:color w:val="auto"/>
              </w:rPr>
            </w:pPr>
          </w:p>
        </w:tc>
        <w:tc>
          <w:tcPr>
            <w:tcW w:w="1160" w:type="dxa"/>
            <w:vAlign w:val="bottom"/>
            <w:shd w:val="clear" w:color="auto" w:fill="D7E8F5"/>
          </w:tcPr>
          <w:p>
            <w:pPr>
              <w:spacing w:after="0"/>
              <w:rPr>
                <w:sz w:val="12"/>
                <w:szCs w:val="12"/>
                <w:color w:val="auto"/>
              </w:rPr>
            </w:pPr>
          </w:p>
        </w:tc>
        <w:tc>
          <w:tcPr>
            <w:tcW w:w="860" w:type="dxa"/>
            <w:vAlign w:val="bottom"/>
            <w:shd w:val="clear" w:color="auto" w:fill="D7E8F5"/>
          </w:tcPr>
          <w:p>
            <w:pPr>
              <w:spacing w:after="0"/>
              <w:rPr>
                <w:sz w:val="12"/>
                <w:szCs w:val="12"/>
                <w:color w:val="auto"/>
              </w:rPr>
            </w:pPr>
          </w:p>
        </w:tc>
      </w:tr>
      <w:tr>
        <w:trPr>
          <w:trHeight w:val="207"/>
        </w:trPr>
        <w:tc>
          <w:tcPr>
            <w:tcW w:w="3700" w:type="dxa"/>
            <w:vAlign w:val="bottom"/>
          </w:tcPr>
          <w:p>
            <w:pPr>
              <w:spacing w:after="0"/>
              <w:rPr>
                <w:sz w:val="20"/>
                <w:szCs w:val="20"/>
                <w:color w:val="auto"/>
              </w:rPr>
            </w:pPr>
            <w:r>
              <w:rPr>
                <w:rFonts w:ascii="Arial" w:cs="Arial" w:eastAsia="Arial" w:hAnsi="Arial"/>
                <w:sz w:val="14"/>
                <w:szCs w:val="14"/>
                <w:color w:val="auto"/>
              </w:rPr>
              <w:t>  Akshay K. Vaishnaw, M.D., Ph.D. (12)</w:t>
            </w:r>
          </w:p>
        </w:tc>
        <w:tc>
          <w:tcPr>
            <w:tcW w:w="640" w:type="dxa"/>
            <w:vAlign w:val="bottom"/>
          </w:tcPr>
          <w:p>
            <w:pPr>
              <w:ind w:left="200"/>
              <w:spacing w:after="0"/>
              <w:rPr>
                <w:sz w:val="20"/>
                <w:szCs w:val="20"/>
                <w:color w:val="auto"/>
              </w:rPr>
            </w:pPr>
            <w:r>
              <w:rPr>
                <w:rFonts w:ascii="Arial" w:cs="Arial" w:eastAsia="Arial" w:hAnsi="Arial"/>
                <w:sz w:val="14"/>
                <w:szCs w:val="14"/>
                <w:color w:val="auto"/>
              </w:rPr>
              <w:t>2023</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647,800</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1,100,160(5)</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1,098,050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450,460</w:t>
            </w:r>
          </w:p>
        </w:tc>
        <w:tc>
          <w:tcPr>
            <w:tcW w:w="1160" w:type="dxa"/>
            <w:vAlign w:val="bottom"/>
          </w:tcPr>
          <w:p>
            <w:pPr>
              <w:jc w:val="right"/>
              <w:spacing w:after="0"/>
              <w:rPr>
                <w:sz w:val="20"/>
                <w:szCs w:val="20"/>
                <w:color w:val="auto"/>
              </w:rPr>
            </w:pPr>
            <w:r>
              <w:rPr>
                <w:rFonts w:ascii="Arial" w:cs="Arial" w:eastAsia="Arial" w:hAnsi="Arial"/>
                <w:sz w:val="14"/>
                <w:szCs w:val="14"/>
                <w:color w:val="auto"/>
              </w:rPr>
              <w:t>20,720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3,317,190</w:t>
            </w:r>
          </w:p>
        </w:tc>
      </w:tr>
      <w:tr>
        <w:trPr>
          <w:trHeight w:val="162"/>
        </w:trPr>
        <w:tc>
          <w:tcPr>
            <w:tcW w:w="3700" w:type="dxa"/>
            <w:vAlign w:val="bottom"/>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Former President</w:t>
            </w:r>
          </w:p>
        </w:tc>
        <w:tc>
          <w:tcPr>
            <w:tcW w:w="640" w:type="dxa"/>
            <w:vAlign w:val="bottom"/>
          </w:tcPr>
          <w:p>
            <w:pPr>
              <w:ind w:left="200"/>
              <w:spacing w:after="0"/>
              <w:rPr>
                <w:sz w:val="20"/>
                <w:szCs w:val="20"/>
                <w:color w:val="auto"/>
              </w:rPr>
            </w:pPr>
            <w:r>
              <w:rPr>
                <w:rFonts w:ascii="Arial" w:cs="Arial" w:eastAsia="Arial" w:hAnsi="Arial"/>
                <w:sz w:val="14"/>
                <w:szCs w:val="14"/>
                <w:color w:val="auto"/>
              </w:rPr>
              <w:t>2022</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725,000</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ind w:left="380"/>
              <w:spacing w:after="0"/>
              <w:rPr>
                <w:sz w:val="20"/>
                <w:szCs w:val="20"/>
                <w:color w:val="auto"/>
              </w:rPr>
            </w:pPr>
            <w:r>
              <w:rPr>
                <w:rFonts w:ascii="Arial" w:cs="Arial" w:eastAsia="Arial" w:hAnsi="Arial"/>
                <w:sz w:val="14"/>
                <w:szCs w:val="14"/>
                <w:color w:val="auto"/>
                <w:w w:val="74"/>
              </w:rPr>
              <w:t>—    </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2,348,850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500,250</w:t>
            </w:r>
          </w:p>
        </w:tc>
        <w:tc>
          <w:tcPr>
            <w:tcW w:w="1160" w:type="dxa"/>
            <w:vAlign w:val="bottom"/>
          </w:tcPr>
          <w:p>
            <w:pPr>
              <w:jc w:val="right"/>
              <w:spacing w:after="0"/>
              <w:rPr>
                <w:sz w:val="20"/>
                <w:szCs w:val="20"/>
                <w:color w:val="auto"/>
              </w:rPr>
            </w:pPr>
            <w:r>
              <w:rPr>
                <w:rFonts w:ascii="Arial" w:cs="Arial" w:eastAsia="Arial" w:hAnsi="Arial"/>
                <w:sz w:val="14"/>
                <w:szCs w:val="14"/>
                <w:color w:val="auto"/>
              </w:rPr>
              <w:t>17,520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3,591,620</w:t>
            </w:r>
          </w:p>
        </w:tc>
      </w:tr>
      <w:tr>
        <w:trPr>
          <w:trHeight w:val="190"/>
        </w:trPr>
        <w:tc>
          <w:tcPr>
            <w:tcW w:w="3700" w:type="dxa"/>
            <w:vAlign w:val="bottom"/>
          </w:tcPr>
          <w:p>
            <w:pPr>
              <w:spacing w:after="0"/>
              <w:rPr>
                <w:sz w:val="16"/>
                <w:szCs w:val="16"/>
                <w:color w:val="auto"/>
              </w:rPr>
            </w:pPr>
          </w:p>
        </w:tc>
        <w:tc>
          <w:tcPr>
            <w:tcW w:w="640" w:type="dxa"/>
            <w:vAlign w:val="bottom"/>
          </w:tcPr>
          <w:p>
            <w:pPr>
              <w:ind w:left="200"/>
              <w:spacing w:after="0"/>
              <w:rPr>
                <w:sz w:val="20"/>
                <w:szCs w:val="20"/>
                <w:color w:val="auto"/>
              </w:rPr>
            </w:pPr>
            <w:r>
              <w:rPr>
                <w:rFonts w:ascii="Arial" w:cs="Arial" w:eastAsia="Arial" w:hAnsi="Arial"/>
                <w:sz w:val="14"/>
                <w:szCs w:val="14"/>
                <w:color w:val="auto"/>
              </w:rPr>
              <w:t>2021</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632,200</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ind w:left="380"/>
              <w:spacing w:after="0"/>
              <w:rPr>
                <w:sz w:val="20"/>
                <w:szCs w:val="20"/>
                <w:color w:val="auto"/>
              </w:rPr>
            </w:pPr>
            <w:r>
              <w:rPr>
                <w:rFonts w:ascii="Arial" w:cs="Arial" w:eastAsia="Arial" w:hAnsi="Arial"/>
                <w:sz w:val="14"/>
                <w:szCs w:val="14"/>
                <w:color w:val="auto"/>
                <w:w w:val="74"/>
              </w:rPr>
              <w:t>—    </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4,339,785(9)</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438,150</w:t>
            </w:r>
          </w:p>
        </w:tc>
        <w:tc>
          <w:tcPr>
            <w:tcW w:w="1160" w:type="dxa"/>
            <w:vAlign w:val="bottom"/>
          </w:tcPr>
          <w:p>
            <w:pPr>
              <w:jc w:val="right"/>
              <w:spacing w:after="0"/>
              <w:rPr>
                <w:sz w:val="20"/>
                <w:szCs w:val="20"/>
                <w:color w:val="auto"/>
              </w:rPr>
            </w:pPr>
            <w:r>
              <w:rPr>
                <w:rFonts w:ascii="Arial" w:cs="Arial" w:eastAsia="Arial" w:hAnsi="Arial"/>
                <w:sz w:val="14"/>
                <w:szCs w:val="14"/>
                <w:color w:val="auto"/>
              </w:rPr>
              <w:t>14,900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5,425,035</w:t>
            </w:r>
          </w:p>
        </w:tc>
      </w:tr>
      <w:tr>
        <w:trPr>
          <w:trHeight w:val="35"/>
        </w:trPr>
        <w:tc>
          <w:tcPr>
            <w:tcW w:w="3700" w:type="dxa"/>
            <w:vAlign w:val="bottom"/>
            <w:tcBorders>
              <w:bottom w:val="single" w:sz="8" w:color="1D3060"/>
            </w:tcBorders>
          </w:tcPr>
          <w:p>
            <w:pPr>
              <w:spacing w:after="0"/>
              <w:rPr>
                <w:sz w:val="3"/>
                <w:szCs w:val="3"/>
                <w:color w:val="auto"/>
              </w:rPr>
            </w:pPr>
          </w:p>
        </w:tc>
        <w:tc>
          <w:tcPr>
            <w:tcW w:w="640" w:type="dxa"/>
            <w:vAlign w:val="bottom"/>
            <w:tcBorders>
              <w:bottom w:val="single" w:sz="8" w:color="1D3060"/>
            </w:tcBorders>
          </w:tcPr>
          <w:p>
            <w:pPr>
              <w:spacing w:after="0"/>
              <w:rPr>
                <w:sz w:val="3"/>
                <w:szCs w:val="3"/>
                <w:color w:val="auto"/>
              </w:rPr>
            </w:pPr>
          </w:p>
        </w:tc>
        <w:tc>
          <w:tcPr>
            <w:tcW w:w="740" w:type="dxa"/>
            <w:vAlign w:val="bottom"/>
            <w:tcBorders>
              <w:bottom w:val="single" w:sz="8" w:color="1D3060"/>
            </w:tcBorders>
          </w:tcPr>
          <w:p>
            <w:pPr>
              <w:spacing w:after="0"/>
              <w:rPr>
                <w:sz w:val="3"/>
                <w:szCs w:val="3"/>
                <w:color w:val="auto"/>
              </w:rPr>
            </w:pPr>
          </w:p>
        </w:tc>
        <w:tc>
          <w:tcPr>
            <w:tcW w:w="640" w:type="dxa"/>
            <w:vAlign w:val="bottom"/>
            <w:tcBorders>
              <w:bottom w:val="single" w:sz="8" w:color="1D3060"/>
            </w:tcBorders>
          </w:tcPr>
          <w:p>
            <w:pPr>
              <w:spacing w:after="0"/>
              <w:rPr>
                <w:sz w:val="3"/>
                <w:szCs w:val="3"/>
                <w:color w:val="auto"/>
              </w:rPr>
            </w:pPr>
          </w:p>
        </w:tc>
        <w:tc>
          <w:tcPr>
            <w:tcW w:w="700" w:type="dxa"/>
            <w:vAlign w:val="bottom"/>
            <w:tcBorders>
              <w:bottom w:val="single" w:sz="8" w:color="1D3060"/>
            </w:tcBorders>
          </w:tcPr>
          <w:p>
            <w:pPr>
              <w:spacing w:after="0"/>
              <w:rPr>
                <w:sz w:val="3"/>
                <w:szCs w:val="3"/>
                <w:color w:val="auto"/>
              </w:rPr>
            </w:pPr>
          </w:p>
        </w:tc>
        <w:tc>
          <w:tcPr>
            <w:tcW w:w="340" w:type="dxa"/>
            <w:vAlign w:val="bottom"/>
            <w:tcBorders>
              <w:bottom w:val="single" w:sz="8" w:color="1D3060"/>
            </w:tcBorders>
          </w:tcPr>
          <w:p>
            <w:pPr>
              <w:spacing w:after="0"/>
              <w:rPr>
                <w:sz w:val="3"/>
                <w:szCs w:val="3"/>
                <w:color w:val="auto"/>
              </w:rPr>
            </w:pPr>
          </w:p>
        </w:tc>
        <w:tc>
          <w:tcPr>
            <w:tcW w:w="1020" w:type="dxa"/>
            <w:vAlign w:val="bottom"/>
            <w:tcBorders>
              <w:bottom w:val="single" w:sz="8" w:color="1D3060"/>
            </w:tcBorders>
          </w:tcPr>
          <w:p>
            <w:pPr>
              <w:spacing w:after="0"/>
              <w:rPr>
                <w:sz w:val="3"/>
                <w:szCs w:val="3"/>
                <w:color w:val="auto"/>
              </w:rPr>
            </w:pPr>
          </w:p>
        </w:tc>
        <w:tc>
          <w:tcPr>
            <w:tcW w:w="1220" w:type="dxa"/>
            <w:vAlign w:val="bottom"/>
            <w:tcBorders>
              <w:bottom w:val="single" w:sz="8" w:color="1D3060"/>
            </w:tcBorders>
          </w:tcPr>
          <w:p>
            <w:pPr>
              <w:spacing w:after="0"/>
              <w:rPr>
                <w:sz w:val="3"/>
                <w:szCs w:val="3"/>
                <w:color w:val="auto"/>
              </w:rPr>
            </w:pPr>
          </w:p>
        </w:tc>
        <w:tc>
          <w:tcPr>
            <w:tcW w:w="1160" w:type="dxa"/>
            <w:vAlign w:val="bottom"/>
            <w:tcBorders>
              <w:bottom w:val="single" w:sz="8" w:color="1D3060"/>
            </w:tcBorders>
          </w:tcPr>
          <w:p>
            <w:pPr>
              <w:spacing w:after="0"/>
              <w:rPr>
                <w:sz w:val="3"/>
                <w:szCs w:val="3"/>
                <w:color w:val="auto"/>
              </w:rPr>
            </w:pPr>
          </w:p>
        </w:tc>
        <w:tc>
          <w:tcPr>
            <w:tcW w:w="860" w:type="dxa"/>
            <w:vAlign w:val="bottom"/>
            <w:tcBorders>
              <w:bottom w:val="single" w:sz="8" w:color="1D3060"/>
            </w:tcBorders>
          </w:tcPr>
          <w:p>
            <w:pPr>
              <w:spacing w:after="0"/>
              <w:rPr>
                <w:sz w:val="3"/>
                <w:szCs w:val="3"/>
                <w:color w:val="auto"/>
              </w:rPr>
            </w:pPr>
          </w:p>
        </w:tc>
      </w:tr>
    </w:tbl>
    <w:p>
      <w:pPr>
        <w:spacing w:after="0" w:line="234" w:lineRule="exact"/>
        <w:rPr>
          <w:sz w:val="20"/>
          <w:szCs w:val="20"/>
          <w:color w:val="auto"/>
        </w:rPr>
      </w:pPr>
    </w:p>
    <w:p>
      <w:pPr>
        <w:ind w:left="760" w:right="80" w:hanging="536"/>
        <w:spacing w:after="0" w:line="256" w:lineRule="auto"/>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reported in the Stock Awards column represent the aggregate grant date fair value for the fiscal years ended December 31, 2023, 2022, and 2021 of grants of RSUs and PSUs to each of the NEOs, calculated in accordance with FASB ASC Topic 718. In accordance with SEC rules, these amounts for RSUs are calculated as the number of shares of RSUs granted multiplied by the quoted closing market price of our common stock on the date of grant. For PSUs, these amounts are calculated based on the probable outcome of the performance conditions as of the grant date.</w:t>
      </w:r>
    </w:p>
    <w:p>
      <w:pPr>
        <w:spacing w:after="0" w:line="204" w:lineRule="exact"/>
        <w:rPr>
          <w:rFonts w:ascii="Arial" w:cs="Arial" w:eastAsia="Arial" w:hAnsi="Arial"/>
          <w:sz w:val="14"/>
          <w:szCs w:val="14"/>
          <w:color w:val="auto"/>
        </w:rPr>
      </w:pPr>
    </w:p>
    <w:p>
      <w:pPr>
        <w:ind w:left="760" w:right="120" w:hanging="536"/>
        <w:spacing w:after="0" w:line="252" w:lineRule="auto"/>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reported in the Option Awards column represent the aggregate grant date fair value for the fiscal years ended December 31, 2023, 2022, and 2021 of grants of time-based stock options to each of the NEOs, calculated in accordance with FASB ASC Topic 718. The assumptions we used in calculating these amounts are included in Note 11 of our audited consolidated financial statements for the year ended December 31, 2023 included in our Annual Report on Form 10-K, filed with the SEC on February 15, 2024. To see the value actually realized by the NEO from stock option exercises in 2023, see the 2023 Option Exercises and Stock Vested table appearing below.</w:t>
      </w:r>
    </w:p>
    <w:p>
      <w:pPr>
        <w:spacing w:after="0" w:line="207" w:lineRule="exact"/>
        <w:rPr>
          <w:rFonts w:ascii="Arial" w:cs="Arial" w:eastAsia="Arial" w:hAnsi="Arial"/>
          <w:sz w:val="14"/>
          <w:szCs w:val="14"/>
          <w:color w:val="auto"/>
        </w:rPr>
      </w:pPr>
    </w:p>
    <w:p>
      <w:pPr>
        <w:ind w:left="760" w:right="320" w:hanging="536"/>
        <w:spacing w:after="0" w:line="285" w:lineRule="auto"/>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reported in the Non-Equity Incentive Plan Compensation column reflect the annual AIP award earned by the NEOs for each respective year. The annual AIP awards were paid in the first quarter of the calendar year following the year to which the AIP award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760" w:right="40" w:hanging="536"/>
        <w:spacing w:after="0" w:line="263" w:lineRule="auto"/>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reported in the All Other Compensation column reflect, for each NEO, the sum of (i) the dollar value of life insurance premiums we paid; (ii) the amount we contributed to the 401(k) plan; and (iii) the incremental cost to us of all perquisites and other personal benefits. Specifically, the All Other Compensation column above for 2023 includes:</w:t>
      </w:r>
    </w:p>
    <w:p>
      <w:pPr>
        <w:spacing w:after="0" w:line="200"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3540" w:type="dxa"/>
            <w:vAlign w:val="bottom"/>
            <w:shd w:val="clear" w:color="auto" w:fill="1D3060"/>
          </w:tcPr>
          <w:p>
            <w:pPr>
              <w:spacing w:after="0"/>
              <w:rPr>
                <w:sz w:val="16"/>
                <w:szCs w:val="16"/>
                <w:color w:val="auto"/>
              </w:rPr>
            </w:pPr>
          </w:p>
        </w:tc>
        <w:tc>
          <w:tcPr>
            <w:tcW w:w="2120" w:type="dxa"/>
            <w:vAlign w:val="bottom"/>
            <w:vMerge w:val="restart"/>
            <w:shd w:val="clear" w:color="auto" w:fill="1D3060"/>
          </w:tcPr>
          <w:p>
            <w:pPr>
              <w:jc w:val="center"/>
              <w:ind w:left="239"/>
              <w:spacing w:after="0"/>
              <w:rPr>
                <w:sz w:val="20"/>
                <w:szCs w:val="20"/>
                <w:color w:val="auto"/>
              </w:rPr>
            </w:pPr>
            <w:r>
              <w:rPr>
                <w:rFonts w:ascii="Arial" w:cs="Arial" w:eastAsia="Arial" w:hAnsi="Arial"/>
                <w:sz w:val="16"/>
                <w:szCs w:val="16"/>
                <w:b w:val="1"/>
                <w:bCs w:val="1"/>
                <w:color w:val="FFFFFF"/>
                <w:w w:val="99"/>
              </w:rPr>
              <w:t>Term Life</w:t>
            </w:r>
          </w:p>
        </w:tc>
        <w:tc>
          <w:tcPr>
            <w:tcW w:w="2540" w:type="dxa"/>
            <w:vAlign w:val="bottom"/>
            <w:shd w:val="clear" w:color="auto" w:fill="1D3060"/>
          </w:tcPr>
          <w:p>
            <w:pPr>
              <w:jc w:val="center"/>
              <w:spacing w:after="0"/>
              <w:rPr>
                <w:sz w:val="20"/>
                <w:szCs w:val="20"/>
                <w:color w:val="auto"/>
              </w:rPr>
            </w:pPr>
            <w:r>
              <w:rPr>
                <w:rFonts w:ascii="Arial" w:cs="Arial" w:eastAsia="Arial" w:hAnsi="Arial"/>
                <w:sz w:val="16"/>
                <w:szCs w:val="16"/>
                <w:b w:val="1"/>
                <w:bCs w:val="1"/>
                <w:color w:val="FFFFFF"/>
              </w:rPr>
              <w:t>Dollar Value of</w:t>
            </w:r>
          </w:p>
        </w:tc>
        <w:tc>
          <w:tcPr>
            <w:tcW w:w="2200" w:type="dxa"/>
            <w:vAlign w:val="bottom"/>
            <w:shd w:val="clear" w:color="auto" w:fill="1D3060"/>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1D3060"/>
          </w:tcPr>
          <w:p>
            <w:pPr>
              <w:spacing w:after="0"/>
              <w:rPr>
                <w:sz w:val="15"/>
                <w:szCs w:val="15"/>
                <w:color w:val="auto"/>
              </w:rPr>
            </w:pPr>
          </w:p>
        </w:tc>
        <w:tc>
          <w:tcPr>
            <w:tcW w:w="2120" w:type="dxa"/>
            <w:vAlign w:val="bottom"/>
            <w:vMerge w:val="continue"/>
            <w:shd w:val="clear" w:color="auto" w:fill="1D3060"/>
          </w:tcPr>
          <w:p>
            <w:pPr>
              <w:spacing w:after="0"/>
              <w:rPr>
                <w:sz w:val="15"/>
                <w:szCs w:val="15"/>
                <w:color w:val="auto"/>
              </w:rPr>
            </w:pPr>
          </w:p>
        </w:tc>
        <w:tc>
          <w:tcPr>
            <w:tcW w:w="2540" w:type="dxa"/>
            <w:vAlign w:val="bottom"/>
            <w:shd w:val="clear" w:color="auto" w:fill="1D3060"/>
          </w:tcPr>
          <w:p>
            <w:pPr>
              <w:jc w:val="center"/>
              <w:spacing w:after="0" w:line="175" w:lineRule="exact"/>
              <w:rPr>
                <w:sz w:val="20"/>
                <w:szCs w:val="20"/>
                <w:color w:val="auto"/>
              </w:rPr>
            </w:pPr>
            <w:r>
              <w:rPr>
                <w:rFonts w:ascii="Arial" w:cs="Arial" w:eastAsia="Arial" w:hAnsi="Arial"/>
                <w:sz w:val="16"/>
                <w:szCs w:val="16"/>
                <w:b w:val="1"/>
                <w:bCs w:val="1"/>
                <w:color w:val="FFFFFF"/>
              </w:rPr>
              <w:t>Contribution by Alnylam</w:t>
            </w:r>
          </w:p>
        </w:tc>
        <w:tc>
          <w:tcPr>
            <w:tcW w:w="2200" w:type="dxa"/>
            <w:vAlign w:val="bottom"/>
            <w:shd w:val="clear" w:color="auto" w:fill="1D3060"/>
          </w:tcPr>
          <w:p>
            <w:pPr>
              <w:jc w:val="center"/>
              <w:ind w:left="219"/>
              <w:spacing w:after="0" w:line="175" w:lineRule="exact"/>
              <w:rPr>
                <w:sz w:val="20"/>
                <w:szCs w:val="20"/>
                <w:color w:val="auto"/>
              </w:rPr>
            </w:pPr>
            <w:r>
              <w:rPr>
                <w:rFonts w:ascii="Arial" w:cs="Arial" w:eastAsia="Arial" w:hAnsi="Arial"/>
                <w:sz w:val="16"/>
                <w:szCs w:val="16"/>
                <w:b w:val="1"/>
                <w:bCs w:val="1"/>
                <w:color w:val="FFFFFF"/>
              </w:rPr>
              <w:t>Incremental Cost to</w:t>
            </w:r>
          </w:p>
        </w:tc>
        <w:tc>
          <w:tcPr>
            <w:tcW w:w="0" w:type="dxa"/>
            <w:vAlign w:val="bottom"/>
          </w:tcPr>
          <w:p>
            <w:pPr>
              <w:spacing w:after="0"/>
              <w:rPr>
                <w:sz w:val="1"/>
                <w:szCs w:val="1"/>
                <w:color w:val="auto"/>
              </w:rPr>
            </w:pPr>
          </w:p>
        </w:tc>
      </w:tr>
      <w:tr>
        <w:trPr>
          <w:trHeight w:val="189"/>
        </w:trPr>
        <w:tc>
          <w:tcPr>
            <w:tcW w:w="3540" w:type="dxa"/>
            <w:vAlign w:val="bottom"/>
            <w:shd w:val="clear" w:color="auto" w:fill="1D3060"/>
          </w:tcPr>
          <w:p>
            <w:pPr>
              <w:spacing w:after="0"/>
              <w:rPr>
                <w:sz w:val="16"/>
                <w:szCs w:val="16"/>
                <w:color w:val="auto"/>
              </w:rPr>
            </w:pPr>
          </w:p>
        </w:tc>
        <w:tc>
          <w:tcPr>
            <w:tcW w:w="2120" w:type="dxa"/>
            <w:vAlign w:val="bottom"/>
            <w:shd w:val="clear" w:color="auto" w:fill="1D3060"/>
          </w:tcPr>
          <w:p>
            <w:pPr>
              <w:jc w:val="center"/>
              <w:ind w:left="239"/>
              <w:spacing w:after="0"/>
              <w:rPr>
                <w:sz w:val="20"/>
                <w:szCs w:val="20"/>
                <w:color w:val="auto"/>
              </w:rPr>
            </w:pPr>
            <w:r>
              <w:rPr>
                <w:rFonts w:ascii="Arial" w:cs="Arial" w:eastAsia="Arial" w:hAnsi="Arial"/>
                <w:sz w:val="16"/>
                <w:szCs w:val="16"/>
                <w:b w:val="1"/>
                <w:bCs w:val="1"/>
                <w:color w:val="FFFFFF"/>
              </w:rPr>
              <w:t>Insurance</w:t>
            </w:r>
          </w:p>
        </w:tc>
        <w:tc>
          <w:tcPr>
            <w:tcW w:w="2540" w:type="dxa"/>
            <w:vAlign w:val="bottom"/>
            <w:shd w:val="clear" w:color="auto" w:fill="1D3060"/>
          </w:tcPr>
          <w:p>
            <w:pPr>
              <w:jc w:val="center"/>
              <w:spacing w:after="0"/>
              <w:rPr>
                <w:sz w:val="20"/>
                <w:szCs w:val="20"/>
                <w:color w:val="auto"/>
              </w:rPr>
            </w:pPr>
            <w:r>
              <w:rPr>
                <w:rFonts w:ascii="Arial" w:cs="Arial" w:eastAsia="Arial" w:hAnsi="Arial"/>
                <w:sz w:val="16"/>
                <w:szCs w:val="16"/>
                <w:b w:val="1"/>
                <w:bCs w:val="1"/>
                <w:color w:val="FFFFFF"/>
              </w:rPr>
              <w:t>to the Executive’s</w:t>
            </w:r>
          </w:p>
        </w:tc>
        <w:tc>
          <w:tcPr>
            <w:tcW w:w="2200" w:type="dxa"/>
            <w:vAlign w:val="bottom"/>
            <w:shd w:val="clear" w:color="auto" w:fill="1D3060"/>
          </w:tcPr>
          <w:p>
            <w:pPr>
              <w:jc w:val="center"/>
              <w:ind w:left="239"/>
              <w:spacing w:after="0"/>
              <w:rPr>
                <w:sz w:val="20"/>
                <w:szCs w:val="20"/>
                <w:color w:val="auto"/>
              </w:rPr>
            </w:pPr>
            <w:r>
              <w:rPr>
                <w:rFonts w:ascii="Arial" w:cs="Arial" w:eastAsia="Arial" w:hAnsi="Arial"/>
                <w:sz w:val="16"/>
                <w:szCs w:val="16"/>
                <w:b w:val="1"/>
                <w:bCs w:val="1"/>
                <w:color w:val="FFFFFF"/>
              </w:rPr>
              <w:t>Alnylam of All</w:t>
            </w:r>
          </w:p>
        </w:tc>
        <w:tc>
          <w:tcPr>
            <w:tcW w:w="0" w:type="dxa"/>
            <w:vAlign w:val="bottom"/>
          </w:tcPr>
          <w:p>
            <w:pPr>
              <w:spacing w:after="0"/>
              <w:rPr>
                <w:sz w:val="1"/>
                <w:szCs w:val="1"/>
                <w:color w:val="auto"/>
              </w:rPr>
            </w:pPr>
          </w:p>
        </w:tc>
      </w:tr>
      <w:tr>
        <w:trPr>
          <w:trHeight w:val="189"/>
        </w:trPr>
        <w:tc>
          <w:tcPr>
            <w:tcW w:w="3540" w:type="dxa"/>
            <w:vAlign w:val="bottom"/>
            <w:shd w:val="clear" w:color="auto" w:fill="1D3060"/>
          </w:tcPr>
          <w:p>
            <w:pPr>
              <w:spacing w:after="0"/>
              <w:rPr>
                <w:sz w:val="16"/>
                <w:szCs w:val="16"/>
                <w:color w:val="auto"/>
              </w:rPr>
            </w:pPr>
          </w:p>
        </w:tc>
        <w:tc>
          <w:tcPr>
            <w:tcW w:w="2120" w:type="dxa"/>
            <w:vAlign w:val="bottom"/>
            <w:shd w:val="clear" w:color="auto" w:fill="1D3060"/>
          </w:tcPr>
          <w:p>
            <w:pPr>
              <w:jc w:val="center"/>
              <w:ind w:left="239"/>
              <w:spacing w:after="0"/>
              <w:rPr>
                <w:sz w:val="20"/>
                <w:szCs w:val="20"/>
                <w:color w:val="auto"/>
              </w:rPr>
            </w:pPr>
            <w:r>
              <w:rPr>
                <w:rFonts w:ascii="Arial" w:cs="Arial" w:eastAsia="Arial" w:hAnsi="Arial"/>
                <w:sz w:val="16"/>
                <w:szCs w:val="16"/>
                <w:b w:val="1"/>
                <w:bCs w:val="1"/>
                <w:color w:val="FFFFFF"/>
              </w:rPr>
              <w:t>Premiums Paid</w:t>
            </w:r>
          </w:p>
        </w:tc>
        <w:tc>
          <w:tcPr>
            <w:tcW w:w="2540" w:type="dxa"/>
            <w:vAlign w:val="bottom"/>
            <w:shd w:val="clear" w:color="auto" w:fill="1D3060"/>
          </w:tcPr>
          <w:p>
            <w:pPr>
              <w:jc w:val="center"/>
              <w:spacing w:after="0"/>
              <w:rPr>
                <w:sz w:val="20"/>
                <w:szCs w:val="20"/>
                <w:color w:val="auto"/>
              </w:rPr>
            </w:pPr>
            <w:r>
              <w:rPr>
                <w:rFonts w:ascii="Arial" w:cs="Arial" w:eastAsia="Arial" w:hAnsi="Arial"/>
                <w:sz w:val="16"/>
                <w:szCs w:val="16"/>
                <w:b w:val="1"/>
                <w:bCs w:val="1"/>
                <w:color w:val="FFFFFF"/>
              </w:rPr>
              <w:t>Account</w:t>
            </w:r>
          </w:p>
        </w:tc>
        <w:tc>
          <w:tcPr>
            <w:tcW w:w="2200" w:type="dxa"/>
            <w:vAlign w:val="bottom"/>
            <w:shd w:val="clear" w:color="auto" w:fill="1D3060"/>
          </w:tcPr>
          <w:p>
            <w:pPr>
              <w:jc w:val="right"/>
              <w:ind w:right="19"/>
              <w:spacing w:after="0"/>
              <w:rPr>
                <w:sz w:val="20"/>
                <w:szCs w:val="20"/>
                <w:color w:val="auto"/>
              </w:rPr>
            </w:pPr>
            <w:r>
              <w:rPr>
                <w:rFonts w:ascii="Arial" w:cs="Arial" w:eastAsia="Arial" w:hAnsi="Arial"/>
                <w:sz w:val="16"/>
                <w:szCs w:val="16"/>
                <w:b w:val="1"/>
                <w:bCs w:val="1"/>
                <w:color w:val="FFFFFF"/>
              </w:rPr>
              <w:t>  Perquisites and Other</w:t>
            </w:r>
          </w:p>
        </w:tc>
        <w:tc>
          <w:tcPr>
            <w:tcW w:w="0" w:type="dxa"/>
            <w:vAlign w:val="bottom"/>
          </w:tcPr>
          <w:p>
            <w:pPr>
              <w:spacing w:after="0"/>
              <w:rPr>
                <w:sz w:val="1"/>
                <w:szCs w:val="1"/>
                <w:color w:val="auto"/>
              </w:rPr>
            </w:pPr>
          </w:p>
        </w:tc>
      </w:tr>
      <w:tr>
        <w:trPr>
          <w:trHeight w:val="189"/>
        </w:trPr>
        <w:tc>
          <w:tcPr>
            <w:tcW w:w="3540" w:type="dxa"/>
            <w:vAlign w:val="bottom"/>
            <w:shd w:val="clear" w:color="auto" w:fill="1D3060"/>
          </w:tcPr>
          <w:p>
            <w:pPr>
              <w:spacing w:after="0"/>
              <w:rPr>
                <w:sz w:val="16"/>
                <w:szCs w:val="16"/>
                <w:color w:val="auto"/>
              </w:rPr>
            </w:pPr>
          </w:p>
        </w:tc>
        <w:tc>
          <w:tcPr>
            <w:tcW w:w="2120" w:type="dxa"/>
            <w:vAlign w:val="bottom"/>
            <w:shd w:val="clear" w:color="auto" w:fill="1D3060"/>
          </w:tcPr>
          <w:p>
            <w:pPr>
              <w:jc w:val="center"/>
              <w:ind w:left="219"/>
              <w:spacing w:after="0"/>
              <w:rPr>
                <w:sz w:val="20"/>
                <w:szCs w:val="20"/>
                <w:color w:val="auto"/>
              </w:rPr>
            </w:pPr>
            <w:r>
              <w:rPr>
                <w:rFonts w:ascii="Arial" w:cs="Arial" w:eastAsia="Arial" w:hAnsi="Arial"/>
                <w:sz w:val="16"/>
                <w:szCs w:val="16"/>
                <w:b w:val="1"/>
                <w:bCs w:val="1"/>
                <w:color w:val="FFFFFF"/>
              </w:rPr>
              <w:t>by Alnylam</w:t>
            </w:r>
          </w:p>
        </w:tc>
        <w:tc>
          <w:tcPr>
            <w:tcW w:w="2540" w:type="dxa"/>
            <w:vAlign w:val="bottom"/>
            <w:shd w:val="clear" w:color="auto" w:fill="1D3060"/>
          </w:tcPr>
          <w:p>
            <w:pPr>
              <w:jc w:val="center"/>
              <w:spacing w:after="0"/>
              <w:rPr>
                <w:sz w:val="20"/>
                <w:szCs w:val="20"/>
                <w:color w:val="auto"/>
              </w:rPr>
            </w:pPr>
            <w:r>
              <w:rPr>
                <w:rFonts w:ascii="Arial" w:cs="Arial" w:eastAsia="Arial" w:hAnsi="Arial"/>
                <w:sz w:val="16"/>
                <w:szCs w:val="16"/>
                <w:b w:val="1"/>
                <w:bCs w:val="1"/>
                <w:color w:val="FFFFFF"/>
              </w:rPr>
              <w:t>Under 401(k) Plan</w:t>
            </w:r>
          </w:p>
        </w:tc>
        <w:tc>
          <w:tcPr>
            <w:tcW w:w="2200" w:type="dxa"/>
            <w:vAlign w:val="bottom"/>
            <w:shd w:val="clear" w:color="auto" w:fill="1D3060"/>
          </w:tcPr>
          <w:p>
            <w:pPr>
              <w:jc w:val="center"/>
              <w:ind w:left="219"/>
              <w:spacing w:after="0"/>
              <w:rPr>
                <w:sz w:val="20"/>
                <w:szCs w:val="20"/>
                <w:color w:val="auto"/>
              </w:rPr>
            </w:pPr>
            <w:r>
              <w:rPr>
                <w:rFonts w:ascii="Arial" w:cs="Arial" w:eastAsia="Arial" w:hAnsi="Arial"/>
                <w:sz w:val="16"/>
                <w:szCs w:val="16"/>
                <w:b w:val="1"/>
                <w:bCs w:val="1"/>
                <w:color w:val="FFFFFF"/>
              </w:rPr>
              <w:t>Personal Benefits</w:t>
            </w:r>
          </w:p>
        </w:tc>
        <w:tc>
          <w:tcPr>
            <w:tcW w:w="0" w:type="dxa"/>
            <w:vAlign w:val="bottom"/>
          </w:tcPr>
          <w:p>
            <w:pPr>
              <w:spacing w:after="0"/>
              <w:rPr>
                <w:sz w:val="1"/>
                <w:szCs w:val="1"/>
                <w:color w:val="auto"/>
              </w:rPr>
            </w:pPr>
          </w:p>
        </w:tc>
      </w:tr>
      <w:tr>
        <w:trPr>
          <w:trHeight w:val="251"/>
        </w:trPr>
        <w:tc>
          <w:tcPr>
            <w:tcW w:w="3540" w:type="dxa"/>
            <w:vAlign w:val="bottom"/>
            <w:tcBorders>
              <w:bottom w:val="single" w:sz="8" w:color="1D3060"/>
            </w:tcBorders>
            <w:shd w:val="clear" w:color="auto" w:fill="1D3060"/>
          </w:tcPr>
          <w:p>
            <w:pPr>
              <w:spacing w:after="0"/>
              <w:rPr>
                <w:sz w:val="20"/>
                <w:szCs w:val="20"/>
                <w:color w:val="auto"/>
              </w:rPr>
            </w:pPr>
            <w:r>
              <w:rPr>
                <w:rFonts w:ascii="Arial" w:cs="Arial" w:eastAsia="Arial" w:hAnsi="Arial"/>
                <w:sz w:val="16"/>
                <w:szCs w:val="16"/>
                <w:b w:val="1"/>
                <w:bCs w:val="1"/>
                <w:color w:val="FFFFFF"/>
              </w:rPr>
              <w:t>  Name</w:t>
            </w:r>
          </w:p>
        </w:tc>
        <w:tc>
          <w:tcPr>
            <w:tcW w:w="2120" w:type="dxa"/>
            <w:vAlign w:val="bottom"/>
            <w:tcBorders>
              <w:bottom w:val="single" w:sz="8" w:color="1D3060"/>
            </w:tcBorders>
            <w:shd w:val="clear" w:color="auto" w:fill="1D3060"/>
          </w:tcPr>
          <w:p>
            <w:pPr>
              <w:jc w:val="center"/>
              <w:ind w:left="239"/>
              <w:spacing w:after="0"/>
              <w:rPr>
                <w:sz w:val="20"/>
                <w:szCs w:val="20"/>
                <w:color w:val="auto"/>
              </w:rPr>
            </w:pPr>
            <w:r>
              <w:rPr>
                <w:rFonts w:ascii="Arial" w:cs="Arial" w:eastAsia="Arial" w:hAnsi="Arial"/>
                <w:sz w:val="16"/>
                <w:szCs w:val="16"/>
                <w:b w:val="1"/>
                <w:bCs w:val="1"/>
                <w:color w:val="FFFFFF"/>
              </w:rPr>
              <w:t>($)</w:t>
            </w:r>
          </w:p>
        </w:tc>
        <w:tc>
          <w:tcPr>
            <w:tcW w:w="2540" w:type="dxa"/>
            <w:vAlign w:val="bottom"/>
            <w:tcBorders>
              <w:bottom w:val="single" w:sz="8" w:color="1D3060"/>
            </w:tcBorders>
            <w:shd w:val="clear" w:color="auto" w:fill="1D3060"/>
          </w:tcPr>
          <w:p>
            <w:pPr>
              <w:jc w:val="center"/>
              <w:spacing w:after="0"/>
              <w:rPr>
                <w:sz w:val="20"/>
                <w:szCs w:val="20"/>
                <w:color w:val="auto"/>
              </w:rPr>
            </w:pPr>
            <w:r>
              <w:rPr>
                <w:rFonts w:ascii="Arial" w:cs="Arial" w:eastAsia="Arial" w:hAnsi="Arial"/>
                <w:sz w:val="16"/>
                <w:szCs w:val="16"/>
                <w:b w:val="1"/>
                <w:bCs w:val="1"/>
                <w:color w:val="FFFFFF"/>
                <w:w w:val="91"/>
              </w:rPr>
              <w:t>($)</w:t>
            </w:r>
          </w:p>
        </w:tc>
        <w:tc>
          <w:tcPr>
            <w:tcW w:w="2200" w:type="dxa"/>
            <w:vAlign w:val="bottom"/>
            <w:tcBorders>
              <w:bottom w:val="single" w:sz="8" w:color="1D3060"/>
            </w:tcBorders>
            <w:shd w:val="clear" w:color="auto" w:fill="1D3060"/>
          </w:tcPr>
          <w:p>
            <w:pPr>
              <w:jc w:val="center"/>
              <w:ind w:left="239"/>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90"/>
        </w:trPr>
        <w:tc>
          <w:tcPr>
            <w:tcW w:w="354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6"/>
                <w:szCs w:val="16"/>
                <w:color w:val="auto"/>
              </w:rPr>
              <w:t>  Yvonne L. Greenstreet, MBChB, MBA</w:t>
            </w:r>
          </w:p>
        </w:tc>
        <w:tc>
          <w:tcPr>
            <w:tcW w:w="2120" w:type="dxa"/>
            <w:vAlign w:val="bottom"/>
            <w:tcBorders>
              <w:bottom w:val="single" w:sz="8" w:color="D7E8F5"/>
            </w:tcBorders>
            <w:shd w:val="clear" w:color="auto" w:fill="D7E8F5"/>
          </w:tcPr>
          <w:p>
            <w:pPr>
              <w:jc w:val="right"/>
              <w:ind w:right="479"/>
              <w:spacing w:after="0"/>
              <w:rPr>
                <w:sz w:val="20"/>
                <w:szCs w:val="20"/>
                <w:color w:val="auto"/>
              </w:rPr>
            </w:pPr>
            <w:r>
              <w:rPr>
                <w:rFonts w:ascii="Arial" w:cs="Arial" w:eastAsia="Arial" w:hAnsi="Arial"/>
                <w:sz w:val="16"/>
                <w:szCs w:val="16"/>
                <w:color w:val="auto"/>
              </w:rPr>
              <w:t>7,520</w:t>
            </w:r>
          </w:p>
        </w:tc>
        <w:tc>
          <w:tcPr>
            <w:tcW w:w="2540" w:type="dxa"/>
            <w:vAlign w:val="bottom"/>
            <w:tcBorders>
              <w:bottom w:val="single" w:sz="8" w:color="D7E8F5"/>
            </w:tcBorders>
            <w:shd w:val="clear" w:color="auto" w:fill="D7E8F5"/>
          </w:tcPr>
          <w:p>
            <w:pPr>
              <w:jc w:val="right"/>
              <w:ind w:right="759"/>
              <w:spacing w:after="0"/>
              <w:rPr>
                <w:sz w:val="20"/>
                <w:szCs w:val="20"/>
                <w:color w:val="auto"/>
              </w:rPr>
            </w:pPr>
            <w:r>
              <w:rPr>
                <w:rFonts w:ascii="Arial" w:cs="Arial" w:eastAsia="Arial" w:hAnsi="Arial"/>
                <w:sz w:val="16"/>
                <w:szCs w:val="16"/>
                <w:color w:val="auto"/>
              </w:rPr>
              <w:t>13,200</w:t>
            </w:r>
          </w:p>
        </w:tc>
        <w:tc>
          <w:tcPr>
            <w:tcW w:w="2200" w:type="dxa"/>
            <w:vAlign w:val="bottom"/>
            <w:tcBorders>
              <w:bottom w:val="single" w:sz="8" w:color="D7E8F5"/>
            </w:tcBorders>
            <w:shd w:val="clear" w:color="auto" w:fill="D7E8F5"/>
          </w:tcPr>
          <w:p>
            <w:pPr>
              <w:jc w:val="right"/>
              <w:ind w:right="3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3540" w:type="dxa"/>
            <w:vAlign w:val="bottom"/>
          </w:tcPr>
          <w:p>
            <w:pPr>
              <w:spacing w:after="0"/>
              <w:rPr>
                <w:sz w:val="20"/>
                <w:szCs w:val="20"/>
                <w:color w:val="auto"/>
              </w:rPr>
            </w:pPr>
            <w:r>
              <w:rPr>
                <w:rFonts w:ascii="Arial" w:cs="Arial" w:eastAsia="Arial" w:hAnsi="Arial"/>
                <w:sz w:val="16"/>
                <w:szCs w:val="16"/>
                <w:color w:val="auto"/>
              </w:rPr>
              <w:t>  Jeffrey V. Poulton</w:t>
            </w:r>
          </w:p>
        </w:tc>
        <w:tc>
          <w:tcPr>
            <w:tcW w:w="2120" w:type="dxa"/>
            <w:vAlign w:val="bottom"/>
          </w:tcPr>
          <w:p>
            <w:pPr>
              <w:jc w:val="right"/>
              <w:ind w:right="479"/>
              <w:spacing w:after="0"/>
              <w:rPr>
                <w:sz w:val="20"/>
                <w:szCs w:val="20"/>
                <w:color w:val="auto"/>
              </w:rPr>
            </w:pPr>
            <w:r>
              <w:rPr>
                <w:rFonts w:ascii="Arial" w:cs="Arial" w:eastAsia="Arial" w:hAnsi="Arial"/>
                <w:sz w:val="16"/>
                <w:szCs w:val="16"/>
                <w:color w:val="auto"/>
              </w:rPr>
              <w:t>4,900</w:t>
            </w:r>
          </w:p>
        </w:tc>
        <w:tc>
          <w:tcPr>
            <w:tcW w:w="2540" w:type="dxa"/>
            <w:vAlign w:val="bottom"/>
          </w:tcPr>
          <w:p>
            <w:pPr>
              <w:jc w:val="right"/>
              <w:ind w:right="759"/>
              <w:spacing w:after="0"/>
              <w:rPr>
                <w:sz w:val="20"/>
                <w:szCs w:val="20"/>
                <w:color w:val="auto"/>
              </w:rPr>
            </w:pPr>
            <w:r>
              <w:rPr>
                <w:rFonts w:ascii="Arial" w:cs="Arial" w:eastAsia="Arial" w:hAnsi="Arial"/>
                <w:sz w:val="16"/>
                <w:szCs w:val="16"/>
                <w:color w:val="auto"/>
              </w:rPr>
              <w:t>13,200</w:t>
            </w:r>
          </w:p>
        </w:tc>
        <w:tc>
          <w:tcPr>
            <w:tcW w:w="22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3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54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6"/>
                <w:szCs w:val="16"/>
                <w:color w:val="auto"/>
              </w:rPr>
              <w:t>  Pushkal Garg, M.D.</w:t>
            </w:r>
          </w:p>
        </w:tc>
        <w:tc>
          <w:tcPr>
            <w:tcW w:w="2120" w:type="dxa"/>
            <w:vAlign w:val="bottom"/>
            <w:tcBorders>
              <w:bottom w:val="single" w:sz="8" w:color="D7E8F5"/>
            </w:tcBorders>
            <w:shd w:val="clear" w:color="auto" w:fill="D7E8F5"/>
          </w:tcPr>
          <w:p>
            <w:pPr>
              <w:jc w:val="right"/>
              <w:ind w:right="479"/>
              <w:spacing w:after="0"/>
              <w:rPr>
                <w:sz w:val="20"/>
                <w:szCs w:val="20"/>
                <w:color w:val="auto"/>
              </w:rPr>
            </w:pPr>
            <w:r>
              <w:rPr>
                <w:rFonts w:ascii="Arial" w:cs="Arial" w:eastAsia="Arial" w:hAnsi="Arial"/>
                <w:sz w:val="16"/>
                <w:szCs w:val="16"/>
                <w:color w:val="auto"/>
              </w:rPr>
              <w:t>4,900</w:t>
            </w:r>
          </w:p>
        </w:tc>
        <w:tc>
          <w:tcPr>
            <w:tcW w:w="2540" w:type="dxa"/>
            <w:vAlign w:val="bottom"/>
            <w:tcBorders>
              <w:bottom w:val="single" w:sz="8" w:color="D7E8F5"/>
            </w:tcBorders>
            <w:shd w:val="clear" w:color="auto" w:fill="D7E8F5"/>
          </w:tcPr>
          <w:p>
            <w:pPr>
              <w:jc w:val="right"/>
              <w:ind w:right="759"/>
              <w:spacing w:after="0"/>
              <w:rPr>
                <w:sz w:val="20"/>
                <w:szCs w:val="20"/>
                <w:color w:val="auto"/>
              </w:rPr>
            </w:pPr>
            <w:r>
              <w:rPr>
                <w:rFonts w:ascii="Arial" w:cs="Arial" w:eastAsia="Arial" w:hAnsi="Arial"/>
                <w:sz w:val="16"/>
                <w:szCs w:val="16"/>
                <w:color w:val="auto"/>
              </w:rPr>
              <w:t>13,200</w:t>
            </w:r>
          </w:p>
        </w:tc>
        <w:tc>
          <w:tcPr>
            <w:tcW w:w="2200" w:type="dxa"/>
            <w:vAlign w:val="bottom"/>
            <w:tcBorders>
              <w:bottom w:val="single" w:sz="8" w:color="D7E8F5"/>
            </w:tcBorders>
            <w:shd w:val="clear" w:color="auto" w:fill="D7E8F5"/>
          </w:tcPr>
          <w:p>
            <w:pPr>
              <w:jc w:val="right"/>
              <w:ind w:right="3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3540" w:type="dxa"/>
            <w:vAlign w:val="bottom"/>
          </w:tcPr>
          <w:p>
            <w:pPr>
              <w:spacing w:after="0"/>
              <w:rPr>
                <w:sz w:val="20"/>
                <w:szCs w:val="20"/>
                <w:color w:val="auto"/>
              </w:rPr>
            </w:pPr>
            <w:r>
              <w:rPr>
                <w:rFonts w:ascii="Arial" w:cs="Arial" w:eastAsia="Arial" w:hAnsi="Arial"/>
                <w:sz w:val="16"/>
                <w:szCs w:val="16"/>
                <w:color w:val="auto"/>
              </w:rPr>
              <w:t>  Tolga Tanguler</w:t>
            </w:r>
          </w:p>
        </w:tc>
        <w:tc>
          <w:tcPr>
            <w:tcW w:w="2120" w:type="dxa"/>
            <w:vAlign w:val="bottom"/>
          </w:tcPr>
          <w:p>
            <w:pPr>
              <w:jc w:val="right"/>
              <w:ind w:right="479"/>
              <w:spacing w:after="0"/>
              <w:rPr>
                <w:sz w:val="20"/>
                <w:szCs w:val="20"/>
                <w:color w:val="auto"/>
              </w:rPr>
            </w:pPr>
            <w:r>
              <w:rPr>
                <w:rFonts w:ascii="Arial" w:cs="Arial" w:eastAsia="Arial" w:hAnsi="Arial"/>
                <w:sz w:val="16"/>
                <w:szCs w:val="16"/>
                <w:color w:val="auto"/>
              </w:rPr>
              <w:t>2,620</w:t>
            </w:r>
          </w:p>
        </w:tc>
        <w:tc>
          <w:tcPr>
            <w:tcW w:w="2540" w:type="dxa"/>
            <w:vAlign w:val="bottom"/>
          </w:tcPr>
          <w:p>
            <w:pPr>
              <w:jc w:val="right"/>
              <w:ind w:right="759"/>
              <w:spacing w:after="0"/>
              <w:rPr>
                <w:sz w:val="20"/>
                <w:szCs w:val="20"/>
                <w:color w:val="auto"/>
              </w:rPr>
            </w:pPr>
            <w:r>
              <w:rPr>
                <w:rFonts w:ascii="Arial" w:cs="Arial" w:eastAsia="Arial" w:hAnsi="Arial"/>
                <w:sz w:val="16"/>
                <w:szCs w:val="16"/>
                <w:color w:val="auto"/>
              </w:rPr>
              <w:t>13,200</w:t>
            </w:r>
          </w:p>
        </w:tc>
        <w:tc>
          <w:tcPr>
            <w:tcW w:w="22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3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54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6"/>
                <w:szCs w:val="16"/>
                <w:color w:val="auto"/>
              </w:rPr>
              <w:t>  Indrani L. Franchini, J.D. (a)</w:t>
            </w:r>
          </w:p>
        </w:tc>
        <w:tc>
          <w:tcPr>
            <w:tcW w:w="2120" w:type="dxa"/>
            <w:vAlign w:val="bottom"/>
            <w:tcBorders>
              <w:bottom w:val="single" w:sz="8" w:color="D7E8F5"/>
            </w:tcBorders>
            <w:shd w:val="clear" w:color="auto" w:fill="D7E8F5"/>
          </w:tcPr>
          <w:p>
            <w:pPr>
              <w:jc w:val="right"/>
              <w:ind w:right="479"/>
              <w:spacing w:after="0"/>
              <w:rPr>
                <w:sz w:val="20"/>
                <w:szCs w:val="20"/>
                <w:color w:val="auto"/>
              </w:rPr>
            </w:pPr>
            <w:r>
              <w:rPr>
                <w:rFonts w:ascii="Arial" w:cs="Arial" w:eastAsia="Arial" w:hAnsi="Arial"/>
                <w:sz w:val="16"/>
                <w:szCs w:val="16"/>
                <w:color w:val="auto"/>
              </w:rPr>
              <w:t>2,620</w:t>
            </w:r>
          </w:p>
        </w:tc>
        <w:tc>
          <w:tcPr>
            <w:tcW w:w="2540" w:type="dxa"/>
            <w:vAlign w:val="bottom"/>
            <w:tcBorders>
              <w:bottom w:val="single" w:sz="8" w:color="D7E8F5"/>
            </w:tcBorders>
            <w:shd w:val="clear" w:color="auto" w:fill="D7E8F5"/>
          </w:tcPr>
          <w:p>
            <w:pPr>
              <w:jc w:val="right"/>
              <w:ind w:right="759"/>
              <w:spacing w:after="0"/>
              <w:rPr>
                <w:sz w:val="20"/>
                <w:szCs w:val="20"/>
                <w:color w:val="auto"/>
              </w:rPr>
            </w:pPr>
            <w:r>
              <w:rPr>
                <w:rFonts w:ascii="Arial" w:cs="Arial" w:eastAsia="Arial" w:hAnsi="Arial"/>
                <w:sz w:val="16"/>
                <w:szCs w:val="16"/>
                <w:color w:val="auto"/>
              </w:rPr>
              <w:t>13,200</w:t>
            </w:r>
          </w:p>
        </w:tc>
        <w:tc>
          <w:tcPr>
            <w:tcW w:w="2200" w:type="dxa"/>
            <w:vAlign w:val="bottom"/>
            <w:tcBorders>
              <w:bottom w:val="single" w:sz="8" w:color="D7E8F5"/>
            </w:tcBorders>
            <w:shd w:val="clear" w:color="auto" w:fill="D7E8F5"/>
          </w:tcPr>
          <w:p>
            <w:pPr>
              <w:jc w:val="right"/>
              <w:ind w:right="199"/>
              <w:spacing w:after="0"/>
              <w:rPr>
                <w:sz w:val="20"/>
                <w:szCs w:val="20"/>
                <w:color w:val="auto"/>
              </w:rPr>
            </w:pPr>
            <w:r>
              <w:rPr>
                <w:rFonts w:ascii="Arial" w:cs="Arial" w:eastAsia="Arial" w:hAnsi="Arial"/>
                <w:sz w:val="16"/>
                <w:szCs w:val="16"/>
                <w:color w:val="auto"/>
              </w:rPr>
              <w:t>15,750(b)</w:t>
            </w:r>
          </w:p>
        </w:tc>
        <w:tc>
          <w:tcPr>
            <w:tcW w:w="0" w:type="dxa"/>
            <w:vAlign w:val="bottom"/>
          </w:tcPr>
          <w:p>
            <w:pPr>
              <w:spacing w:after="0"/>
              <w:rPr>
                <w:sz w:val="1"/>
                <w:szCs w:val="1"/>
                <w:color w:val="auto"/>
              </w:rPr>
            </w:pPr>
          </w:p>
        </w:tc>
      </w:tr>
      <w:tr>
        <w:trPr>
          <w:trHeight w:val="254"/>
        </w:trPr>
        <w:tc>
          <w:tcPr>
            <w:tcW w:w="3540" w:type="dxa"/>
            <w:vAlign w:val="bottom"/>
          </w:tcPr>
          <w:p>
            <w:pPr>
              <w:spacing w:after="0"/>
              <w:rPr>
                <w:sz w:val="20"/>
                <w:szCs w:val="20"/>
                <w:color w:val="auto"/>
              </w:rPr>
            </w:pPr>
            <w:r>
              <w:rPr>
                <w:rFonts w:ascii="Arial" w:cs="Arial" w:eastAsia="Arial" w:hAnsi="Arial"/>
                <w:sz w:val="16"/>
                <w:szCs w:val="16"/>
                <w:color w:val="auto"/>
              </w:rPr>
              <w:t>  Akshay K. Vaishnaw, M.D., Ph.D. (c)</w:t>
            </w:r>
          </w:p>
        </w:tc>
        <w:tc>
          <w:tcPr>
            <w:tcW w:w="2120" w:type="dxa"/>
            <w:vAlign w:val="bottom"/>
          </w:tcPr>
          <w:p>
            <w:pPr>
              <w:jc w:val="right"/>
              <w:ind w:right="479"/>
              <w:spacing w:after="0"/>
              <w:rPr>
                <w:sz w:val="20"/>
                <w:szCs w:val="20"/>
                <w:color w:val="auto"/>
              </w:rPr>
            </w:pPr>
            <w:r>
              <w:rPr>
                <w:rFonts w:ascii="Arial" w:cs="Arial" w:eastAsia="Arial" w:hAnsi="Arial"/>
                <w:sz w:val="16"/>
                <w:szCs w:val="16"/>
                <w:color w:val="auto"/>
              </w:rPr>
              <w:t>7,520</w:t>
            </w:r>
          </w:p>
        </w:tc>
        <w:tc>
          <w:tcPr>
            <w:tcW w:w="2540" w:type="dxa"/>
            <w:vAlign w:val="bottom"/>
          </w:tcPr>
          <w:p>
            <w:pPr>
              <w:jc w:val="right"/>
              <w:ind w:right="759"/>
              <w:spacing w:after="0"/>
              <w:rPr>
                <w:sz w:val="20"/>
                <w:szCs w:val="20"/>
                <w:color w:val="auto"/>
              </w:rPr>
            </w:pPr>
            <w:r>
              <w:rPr>
                <w:rFonts w:ascii="Arial" w:cs="Arial" w:eastAsia="Arial" w:hAnsi="Arial"/>
                <w:sz w:val="16"/>
                <w:szCs w:val="16"/>
                <w:color w:val="auto"/>
              </w:rPr>
              <w:t>13,200</w:t>
            </w:r>
          </w:p>
        </w:tc>
        <w:tc>
          <w:tcPr>
            <w:tcW w:w="22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3540" w:type="dxa"/>
            <w:vAlign w:val="bottom"/>
            <w:tcBorders>
              <w:bottom w:val="single" w:sz="8" w:color="2275B5"/>
            </w:tcBorders>
          </w:tcPr>
          <w:p>
            <w:pPr>
              <w:spacing w:after="0"/>
              <w:rPr>
                <w:sz w:val="4"/>
                <w:szCs w:val="4"/>
                <w:color w:val="auto"/>
              </w:rPr>
            </w:pPr>
          </w:p>
        </w:tc>
        <w:tc>
          <w:tcPr>
            <w:tcW w:w="2120" w:type="dxa"/>
            <w:vAlign w:val="bottom"/>
            <w:tcBorders>
              <w:bottom w:val="single" w:sz="8" w:color="2275B5"/>
            </w:tcBorders>
          </w:tcPr>
          <w:p>
            <w:pPr>
              <w:spacing w:after="0"/>
              <w:rPr>
                <w:sz w:val="4"/>
                <w:szCs w:val="4"/>
                <w:color w:val="auto"/>
              </w:rPr>
            </w:pPr>
          </w:p>
        </w:tc>
        <w:tc>
          <w:tcPr>
            <w:tcW w:w="2540" w:type="dxa"/>
            <w:vAlign w:val="bottom"/>
            <w:tcBorders>
              <w:bottom w:val="single" w:sz="8" w:color="2275B5"/>
            </w:tcBorders>
          </w:tcPr>
          <w:p>
            <w:pPr>
              <w:spacing w:after="0"/>
              <w:rPr>
                <w:sz w:val="4"/>
                <w:szCs w:val="4"/>
                <w:color w:val="auto"/>
              </w:rPr>
            </w:pPr>
          </w:p>
        </w:tc>
        <w:tc>
          <w:tcPr>
            <w:tcW w:w="2200" w:type="dxa"/>
            <w:vAlign w:val="bottom"/>
            <w:tcBorders>
              <w:bottom w:val="single" w:sz="8" w:color="2275B5"/>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300" w:hanging="536"/>
        <w:spacing w:after="0"/>
        <w:tabs>
          <w:tab w:leader="none" w:pos="1300" w:val="left"/>
        </w:tabs>
        <w:numPr>
          <w:ilvl w:val="1"/>
          <w:numId w:val="44"/>
        </w:numPr>
        <w:rPr>
          <w:rFonts w:ascii="Arial" w:cs="Arial" w:eastAsia="Arial" w:hAnsi="Arial"/>
          <w:sz w:val="14"/>
          <w:szCs w:val="14"/>
          <w:color w:val="auto"/>
        </w:rPr>
      </w:pPr>
      <w:r>
        <w:rPr>
          <w:rFonts w:ascii="Arial" w:cs="Arial" w:eastAsia="Arial" w:hAnsi="Arial"/>
          <w:sz w:val="14"/>
          <w:szCs w:val="14"/>
          <w:color w:val="auto"/>
        </w:rPr>
        <w:t>Ms. Franchini’s employment with us terminated effective March 1, 2024.</w:t>
      </w:r>
    </w:p>
    <w:p>
      <w:pPr>
        <w:spacing w:after="0" w:line="244" w:lineRule="exact"/>
        <w:rPr>
          <w:rFonts w:ascii="Arial" w:cs="Arial" w:eastAsia="Arial" w:hAnsi="Arial"/>
          <w:sz w:val="14"/>
          <w:szCs w:val="14"/>
          <w:color w:val="auto"/>
        </w:rPr>
      </w:pPr>
    </w:p>
    <w:p>
      <w:pPr>
        <w:ind w:left="1300" w:hanging="536"/>
        <w:spacing w:after="0"/>
        <w:tabs>
          <w:tab w:leader="none" w:pos="1300" w:val="left"/>
        </w:tabs>
        <w:numPr>
          <w:ilvl w:val="1"/>
          <w:numId w:val="44"/>
        </w:numPr>
        <w:rPr>
          <w:rFonts w:ascii="Arial" w:cs="Arial" w:eastAsia="Arial" w:hAnsi="Arial"/>
          <w:sz w:val="14"/>
          <w:szCs w:val="14"/>
          <w:color w:val="auto"/>
        </w:rPr>
      </w:pPr>
      <w:r>
        <w:rPr>
          <w:rFonts w:ascii="Arial" w:cs="Arial" w:eastAsia="Arial" w:hAnsi="Arial"/>
          <w:sz w:val="14"/>
          <w:szCs w:val="14"/>
          <w:color w:val="auto"/>
        </w:rPr>
        <w:t>Represents amounts paid for commuting and lodging expenses for Ms. Franchini in connection with travel to our Cambridge office.</w:t>
      </w:r>
    </w:p>
    <w:p>
      <w:pPr>
        <w:spacing w:after="0" w:line="244" w:lineRule="exact"/>
        <w:rPr>
          <w:rFonts w:ascii="Arial" w:cs="Arial" w:eastAsia="Arial" w:hAnsi="Arial"/>
          <w:sz w:val="14"/>
          <w:szCs w:val="14"/>
          <w:color w:val="auto"/>
        </w:rPr>
      </w:pPr>
    </w:p>
    <w:p>
      <w:pPr>
        <w:ind w:left="1300" w:right="160" w:hanging="536"/>
        <w:spacing w:after="0" w:line="285" w:lineRule="auto"/>
        <w:tabs>
          <w:tab w:leader="none" w:pos="1300" w:val="left"/>
        </w:tabs>
        <w:numPr>
          <w:ilvl w:val="1"/>
          <w:numId w:val="44"/>
        </w:numPr>
        <w:rPr>
          <w:rFonts w:ascii="Arial" w:cs="Arial" w:eastAsia="Arial" w:hAnsi="Arial"/>
          <w:sz w:val="14"/>
          <w:szCs w:val="14"/>
          <w:color w:val="auto"/>
        </w:rPr>
      </w:pPr>
      <w:r>
        <w:rPr>
          <w:rFonts w:ascii="Arial" w:cs="Arial" w:eastAsia="Arial" w:hAnsi="Arial"/>
          <w:sz w:val="14"/>
          <w:szCs w:val="14"/>
          <w:color w:val="auto"/>
        </w:rPr>
        <w:t>Dr. Vaishnaw transitioned from the role as our President to a part-time role as Chief Innovation Officer effective October 2, 2023, and ceased to serve as an executive officer at such time.</w:t>
      </w:r>
    </w:p>
    <w:p>
      <w:pPr>
        <w:spacing w:after="0" w:line="184" w:lineRule="exact"/>
        <w:rPr>
          <w:rFonts w:ascii="Arial" w:cs="Arial" w:eastAsia="Arial" w:hAnsi="Arial"/>
          <w:sz w:val="14"/>
          <w:szCs w:val="14"/>
          <w:color w:val="auto"/>
        </w:rPr>
      </w:pPr>
    </w:p>
    <w:p>
      <w:pPr>
        <w:ind w:left="760" w:right="120" w:hanging="536"/>
        <w:spacing w:after="0" w:line="252"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for grants of RSUs and PSUs, calculated in accordance with FASB ASC Topic 718. For PSUs granted during 2023, we determined that, as of the date of grant, it was not probable, as defined under applicable accounting guidance, that any of the performance conditions would be achieved and therefore assigned a grant date fair value of $0. If we had determined that, as of the date of grant, it was probable that 100% of the performance conditions would be achieved, we would have assigned a grant date fair value of $6,750,110 for Dr. Greenstreet, $2,175,040 for Mr. Poulton, $2,175,040 for Dr. Garg, $1,900,100 for Mr. Tanguler, $1,000,020 for Ms. Franchini and $2,200,130 for Dr. Vaishnaw.</w:t>
      </w:r>
    </w:p>
    <w:p>
      <w:pPr>
        <w:spacing w:after="0" w:line="207" w:lineRule="exact"/>
        <w:rPr>
          <w:rFonts w:ascii="Arial" w:cs="Arial" w:eastAsia="Arial" w:hAnsi="Arial"/>
          <w:sz w:val="14"/>
          <w:szCs w:val="14"/>
          <w:color w:val="auto"/>
        </w:rPr>
      </w:pPr>
    </w:p>
    <w:p>
      <w:pPr>
        <w:ind w:left="760" w:right="40" w:hanging="536"/>
        <w:spacing w:after="0" w:line="246"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for grants of PSUs, calculated in accordance FASB ASC Topic 718. For PSUs granted during 2022, we determined that, as of the date of grant, it was not probable, as defined under applicable accounting guidance, that any of the performance conditions would be achieved and assigned a grant date fair value of $0. If we had determined that, as of the date of grant, it was probable that 100% of the performance conditions would be achieved, we would have assigned a grant date fair value of $7,500,030 for Dr. Greenstreet, $1,450,070 for Mr. Poulton, $1,900,000 for Dr. Garg, $1,450,110 for Mr. Tanguler and $2,350,080 for Dr. Vaishnaw. Ms. Franchini joined Alnylam in January 2022 and did not receive a PSU award in 2022. For PSUs granted during 2021, we determined that, as of the date of grant, it was not probable, as defined under applicable accounting guidance, that any of the performance conditions would be achieved and assigned a grant date fair value of $0. If we had determined that, as of the date of grant, it was probable that 100% of the performance conditions would be achieved, we would have assigned a grant date fair value of $2,340,090 for Dr. Greenstreet, $1,885,020 for Mr. Poulton, $1,885,020 for Dr. Garg, $550,120 for Mr. Tanguler and $2,340,090 for Dr. Vaishnaw.</w:t>
      </w:r>
    </w:p>
    <w:p>
      <w:pPr>
        <w:spacing w:after="0" w:line="215" w:lineRule="exact"/>
        <w:rPr>
          <w:rFonts w:ascii="Arial" w:cs="Arial" w:eastAsia="Arial" w:hAnsi="Arial"/>
          <w:sz w:val="14"/>
          <w:szCs w:val="14"/>
          <w:color w:val="auto"/>
        </w:rPr>
      </w:pPr>
    </w:p>
    <w:p>
      <w:pPr>
        <w:ind w:left="760" w:right="340" w:hanging="536"/>
        <w:spacing w:after="0" w:line="285"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Tanguler received an RSU award upon commencement of his employment in January 2021. The amounts reported represent the aggregate grant date fair value of such award, calculated in accordance with the provisions of FASB ASC Topic 718.</w:t>
      </w:r>
    </w:p>
    <w:p>
      <w:pPr>
        <w:spacing w:after="0" w:line="184" w:lineRule="exact"/>
        <w:rPr>
          <w:rFonts w:ascii="Arial" w:cs="Arial" w:eastAsia="Arial" w:hAnsi="Arial"/>
          <w:sz w:val="14"/>
          <w:szCs w:val="14"/>
          <w:color w:val="auto"/>
        </w:rPr>
      </w:pPr>
    </w:p>
    <w:p>
      <w:pPr>
        <w:ind w:left="760" w:right="240" w:hanging="536"/>
        <w:spacing w:after="0" w:line="285"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Ms. Franchini received an RSU award upon commencement of her employment in January 2022. The amounts reported represent the aggregate grant date fair value of such award, calculated in accordance with the provisions of FASB ASC Topic 718.</w:t>
      </w:r>
    </w:p>
    <w:p>
      <w:pPr>
        <w:spacing w:after="0" w:line="184" w:lineRule="exact"/>
        <w:rPr>
          <w:rFonts w:ascii="Arial" w:cs="Arial" w:eastAsia="Arial" w:hAnsi="Arial"/>
          <w:sz w:val="14"/>
          <w:szCs w:val="14"/>
          <w:color w:val="auto"/>
        </w:rPr>
      </w:pPr>
    </w:p>
    <w:p>
      <w:pPr>
        <w:ind w:left="760" w:right="500" w:hanging="536"/>
        <w:spacing w:after="0" w:line="285"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stock option awards made to each of Dr. Greenstreet and Dr. Vaishnaw on December 31, 2021 in connection with promotions that took effect as of January 1, 2022.</w:t>
      </w:r>
    </w:p>
    <w:p>
      <w:pPr>
        <w:spacing w:after="0" w:line="184" w:lineRule="exact"/>
        <w:rPr>
          <w:rFonts w:ascii="Arial" w:cs="Arial" w:eastAsia="Arial" w:hAnsi="Arial"/>
          <w:sz w:val="14"/>
          <w:szCs w:val="14"/>
          <w:color w:val="auto"/>
        </w:rPr>
      </w:pPr>
    </w:p>
    <w:p>
      <w:pPr>
        <w:ind w:left="760" w:right="40" w:hanging="536"/>
        <w:spacing w:after="0" w:line="285"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Dr. Greenstreet has served as our CEO since January 1, 2022. She previously served as our president and chief operating officer from October 2020 to December 2021.</w:t>
      </w:r>
    </w:p>
    <w:p>
      <w:pPr>
        <w:spacing w:after="0" w:line="184" w:lineRule="exact"/>
        <w:rPr>
          <w:rFonts w:ascii="Arial" w:cs="Arial" w:eastAsia="Arial" w:hAnsi="Arial"/>
          <w:sz w:val="14"/>
          <w:szCs w:val="14"/>
          <w:color w:val="auto"/>
        </w:rPr>
      </w:pPr>
    </w:p>
    <w:p>
      <w:pPr>
        <w:ind w:left="760" w:right="80" w:hanging="536"/>
        <w:spacing w:after="0" w:line="251"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Ms. Franchini joined Alnylam as executive vice president, chief legal officer and secretary in January 2022. The amount reported as salary for 2022 represents the total salary earned by Ms. Franchini during 2022 and is based upon an annual salary of $580,000, pro-rated to reflect her partial year of employment.</w:t>
      </w:r>
    </w:p>
    <w:p>
      <w:pPr>
        <w:spacing w:after="0" w:line="1"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Ms. Franchini’s employment with us terminated effective March 1, 2024.</w:t>
      </w:r>
    </w:p>
    <w:p>
      <w:pPr>
        <w:spacing w:after="0" w:line="230" w:lineRule="exact"/>
        <w:rPr>
          <w:rFonts w:ascii="Arial" w:cs="Arial" w:eastAsia="Arial" w:hAnsi="Arial"/>
          <w:sz w:val="14"/>
          <w:szCs w:val="14"/>
          <w:color w:val="auto"/>
        </w:rPr>
      </w:pPr>
    </w:p>
    <w:p>
      <w:pPr>
        <w:ind w:left="760" w:right="500" w:hanging="536"/>
        <w:spacing w:after="0" w:line="285"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Dr. Vaishnaw transitioned from the role as our President to a part-time role as Chief Innovation Officer effective October 2, 2023, and ceased to serve as an executive officer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140" w:firstLine="771"/>
        <w:spacing w:after="0" w:line="241" w:lineRule="auto"/>
        <w:rPr>
          <w:sz w:val="20"/>
          <w:szCs w:val="20"/>
          <w:color w:val="auto"/>
        </w:rPr>
      </w:pPr>
      <w:r>
        <w:rPr>
          <w:rFonts w:ascii="Arial" w:cs="Arial" w:eastAsia="Arial" w:hAnsi="Arial"/>
          <w:sz w:val="20"/>
          <w:szCs w:val="20"/>
          <w:color w:val="auto"/>
        </w:rPr>
        <w:t>The following table sets forth information concerning each grant of an award made to a NEO during the fiscal year ended December 31, 2023 under any plan, contract, authorization or arrangement pursuant to which cash, securities, similar instruments or other property may be received:</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D3060"/>
        </w:rPr>
        <w:t>2023 Grants of Plan-Based Awards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3600" w:type="dxa"/>
            <w:vAlign w:val="bottom"/>
            <w:shd w:val="clear" w:color="auto" w:fill="1D3060"/>
          </w:tcPr>
          <w:p>
            <w:pPr>
              <w:spacing w:after="0"/>
              <w:rPr>
                <w:sz w:val="10"/>
                <w:szCs w:val="10"/>
                <w:color w:val="auto"/>
              </w:rPr>
            </w:pPr>
          </w:p>
        </w:tc>
        <w:tc>
          <w:tcPr>
            <w:tcW w:w="860" w:type="dxa"/>
            <w:vAlign w:val="bottom"/>
            <w:shd w:val="clear" w:color="auto" w:fill="1D3060"/>
          </w:tcPr>
          <w:p>
            <w:pPr>
              <w:spacing w:after="0"/>
              <w:rPr>
                <w:sz w:val="10"/>
                <w:szCs w:val="10"/>
                <w:color w:val="auto"/>
              </w:rPr>
            </w:pPr>
          </w:p>
        </w:tc>
        <w:tc>
          <w:tcPr>
            <w:tcW w:w="740" w:type="dxa"/>
            <w:vAlign w:val="bottom"/>
            <w:shd w:val="clear" w:color="auto" w:fill="1D3060"/>
          </w:tcPr>
          <w:p>
            <w:pPr>
              <w:spacing w:after="0"/>
              <w:rPr>
                <w:sz w:val="10"/>
                <w:szCs w:val="10"/>
                <w:color w:val="auto"/>
              </w:rPr>
            </w:pPr>
          </w:p>
        </w:tc>
        <w:tc>
          <w:tcPr>
            <w:tcW w:w="880" w:type="dxa"/>
            <w:vAlign w:val="bottom"/>
            <w:shd w:val="clear" w:color="auto" w:fill="1D3060"/>
          </w:tcPr>
          <w:p>
            <w:pPr>
              <w:spacing w:after="0"/>
              <w:rPr>
                <w:sz w:val="10"/>
                <w:szCs w:val="10"/>
                <w:color w:val="auto"/>
              </w:rPr>
            </w:pPr>
          </w:p>
        </w:tc>
        <w:tc>
          <w:tcPr>
            <w:tcW w:w="680" w:type="dxa"/>
            <w:vAlign w:val="bottom"/>
            <w:shd w:val="clear" w:color="auto" w:fill="1D3060"/>
          </w:tcPr>
          <w:p>
            <w:pPr>
              <w:spacing w:after="0"/>
              <w:rPr>
                <w:sz w:val="10"/>
                <w:szCs w:val="10"/>
                <w:color w:val="auto"/>
              </w:rPr>
            </w:pPr>
          </w:p>
        </w:tc>
        <w:tc>
          <w:tcPr>
            <w:tcW w:w="640" w:type="dxa"/>
            <w:vAlign w:val="bottom"/>
            <w:shd w:val="clear" w:color="auto" w:fill="1D3060"/>
          </w:tcPr>
          <w:p>
            <w:pPr>
              <w:spacing w:after="0"/>
              <w:rPr>
                <w:sz w:val="10"/>
                <w:szCs w:val="10"/>
                <w:color w:val="auto"/>
              </w:rPr>
            </w:pPr>
          </w:p>
        </w:tc>
        <w:tc>
          <w:tcPr>
            <w:tcW w:w="820" w:type="dxa"/>
            <w:vAlign w:val="bottom"/>
            <w:shd w:val="clear" w:color="auto" w:fill="1D3060"/>
          </w:tcPr>
          <w:p>
            <w:pPr>
              <w:spacing w:after="0"/>
              <w:rPr>
                <w:sz w:val="10"/>
                <w:szCs w:val="10"/>
                <w:color w:val="auto"/>
              </w:rPr>
            </w:pPr>
          </w:p>
        </w:tc>
        <w:tc>
          <w:tcPr>
            <w:tcW w:w="180" w:type="dxa"/>
            <w:vAlign w:val="bottom"/>
            <w:shd w:val="clear" w:color="auto" w:fill="1D3060"/>
          </w:tcPr>
          <w:p>
            <w:pPr>
              <w:spacing w:after="0"/>
              <w:rPr>
                <w:sz w:val="10"/>
                <w:szCs w:val="10"/>
                <w:color w:val="auto"/>
              </w:rPr>
            </w:pPr>
          </w:p>
        </w:tc>
        <w:tc>
          <w:tcPr>
            <w:tcW w:w="380" w:type="dxa"/>
            <w:vAlign w:val="bottom"/>
            <w:shd w:val="clear" w:color="auto" w:fill="1D3060"/>
          </w:tcPr>
          <w:p>
            <w:pPr>
              <w:spacing w:after="0"/>
              <w:rPr>
                <w:sz w:val="10"/>
                <w:szCs w:val="10"/>
                <w:color w:val="auto"/>
              </w:rPr>
            </w:pPr>
          </w:p>
        </w:tc>
        <w:tc>
          <w:tcPr>
            <w:tcW w:w="880" w:type="dxa"/>
            <w:vAlign w:val="bottom"/>
            <w:shd w:val="clear" w:color="auto" w:fill="1D3060"/>
          </w:tcPr>
          <w:p>
            <w:pPr>
              <w:spacing w:after="0"/>
              <w:rPr>
                <w:sz w:val="10"/>
                <w:szCs w:val="10"/>
                <w:color w:val="auto"/>
              </w:rPr>
            </w:pPr>
          </w:p>
        </w:tc>
        <w:tc>
          <w:tcPr>
            <w:tcW w:w="680" w:type="dxa"/>
            <w:vAlign w:val="bottom"/>
            <w:shd w:val="clear" w:color="auto" w:fill="1D3060"/>
          </w:tcPr>
          <w:p>
            <w:pPr>
              <w:spacing w:after="0"/>
              <w:rPr>
                <w:sz w:val="10"/>
                <w:szCs w:val="10"/>
                <w:color w:val="auto"/>
              </w:rPr>
            </w:pPr>
          </w:p>
        </w:tc>
        <w:tc>
          <w:tcPr>
            <w:tcW w:w="680" w:type="dxa"/>
            <w:vAlign w:val="bottom"/>
            <w:shd w:val="clear" w:color="auto" w:fill="1D3060"/>
          </w:tcPr>
          <w:p>
            <w:pPr>
              <w:jc w:val="center"/>
              <w:spacing w:after="0"/>
              <w:rPr>
                <w:sz w:val="20"/>
                <w:szCs w:val="20"/>
                <w:color w:val="auto"/>
              </w:rPr>
            </w:pPr>
            <w:r>
              <w:rPr>
                <w:rFonts w:ascii="Arial" w:cs="Arial" w:eastAsia="Arial" w:hAnsi="Arial"/>
                <w:sz w:val="11"/>
                <w:szCs w:val="11"/>
                <w:b w:val="1"/>
                <w:bCs w:val="1"/>
                <w:color w:val="FFFFFF"/>
                <w:w w:val="95"/>
              </w:rPr>
              <w:t>Grant</w:t>
            </w:r>
          </w:p>
        </w:tc>
        <w:tc>
          <w:tcPr>
            <w:tcW w:w="0" w:type="dxa"/>
            <w:vAlign w:val="bottom"/>
          </w:tcPr>
          <w:p>
            <w:pPr>
              <w:spacing w:after="0"/>
              <w:rPr>
                <w:sz w:val="1"/>
                <w:szCs w:val="1"/>
                <w:color w:val="auto"/>
              </w:rPr>
            </w:pPr>
          </w:p>
        </w:tc>
      </w:tr>
      <w:tr>
        <w:trPr>
          <w:trHeight w:val="122"/>
        </w:trPr>
        <w:tc>
          <w:tcPr>
            <w:tcW w:w="3600" w:type="dxa"/>
            <w:vAlign w:val="bottom"/>
            <w:shd w:val="clear" w:color="auto" w:fill="1D3060"/>
          </w:tcPr>
          <w:p>
            <w:pPr>
              <w:spacing w:after="0"/>
              <w:rPr>
                <w:sz w:val="10"/>
                <w:szCs w:val="10"/>
                <w:color w:val="auto"/>
              </w:rPr>
            </w:pPr>
          </w:p>
        </w:tc>
        <w:tc>
          <w:tcPr>
            <w:tcW w:w="860" w:type="dxa"/>
            <w:vAlign w:val="bottom"/>
            <w:shd w:val="clear" w:color="auto" w:fill="1D3060"/>
          </w:tcPr>
          <w:p>
            <w:pPr>
              <w:spacing w:after="0"/>
              <w:rPr>
                <w:sz w:val="10"/>
                <w:szCs w:val="10"/>
                <w:color w:val="auto"/>
              </w:rPr>
            </w:pPr>
          </w:p>
        </w:tc>
        <w:tc>
          <w:tcPr>
            <w:tcW w:w="740" w:type="dxa"/>
            <w:vAlign w:val="bottom"/>
            <w:shd w:val="clear" w:color="auto" w:fill="1D3060"/>
          </w:tcPr>
          <w:p>
            <w:pPr>
              <w:spacing w:after="0"/>
              <w:rPr>
                <w:sz w:val="10"/>
                <w:szCs w:val="10"/>
                <w:color w:val="auto"/>
              </w:rPr>
            </w:pPr>
          </w:p>
        </w:tc>
        <w:tc>
          <w:tcPr>
            <w:tcW w:w="880" w:type="dxa"/>
            <w:vAlign w:val="bottom"/>
            <w:shd w:val="clear" w:color="auto" w:fill="1D3060"/>
          </w:tcPr>
          <w:p>
            <w:pPr>
              <w:spacing w:after="0"/>
              <w:rPr>
                <w:sz w:val="10"/>
                <w:szCs w:val="10"/>
                <w:color w:val="auto"/>
              </w:rPr>
            </w:pPr>
          </w:p>
        </w:tc>
        <w:tc>
          <w:tcPr>
            <w:tcW w:w="680" w:type="dxa"/>
            <w:vAlign w:val="bottom"/>
            <w:shd w:val="clear" w:color="auto" w:fill="1D3060"/>
          </w:tcPr>
          <w:p>
            <w:pPr>
              <w:spacing w:after="0"/>
              <w:rPr>
                <w:sz w:val="10"/>
                <w:szCs w:val="10"/>
                <w:color w:val="auto"/>
              </w:rPr>
            </w:pPr>
          </w:p>
        </w:tc>
        <w:tc>
          <w:tcPr>
            <w:tcW w:w="640" w:type="dxa"/>
            <w:vAlign w:val="bottom"/>
            <w:shd w:val="clear" w:color="auto" w:fill="1D3060"/>
          </w:tcPr>
          <w:p>
            <w:pPr>
              <w:spacing w:after="0"/>
              <w:rPr>
                <w:sz w:val="10"/>
                <w:szCs w:val="10"/>
                <w:color w:val="auto"/>
              </w:rPr>
            </w:pPr>
          </w:p>
        </w:tc>
        <w:tc>
          <w:tcPr>
            <w:tcW w:w="820" w:type="dxa"/>
            <w:vAlign w:val="bottom"/>
            <w:shd w:val="clear" w:color="auto" w:fill="1D3060"/>
          </w:tcPr>
          <w:p>
            <w:pPr>
              <w:spacing w:after="0"/>
              <w:rPr>
                <w:sz w:val="10"/>
                <w:szCs w:val="10"/>
                <w:color w:val="auto"/>
              </w:rPr>
            </w:pPr>
          </w:p>
        </w:tc>
        <w:tc>
          <w:tcPr>
            <w:tcW w:w="180" w:type="dxa"/>
            <w:vAlign w:val="bottom"/>
            <w:shd w:val="clear" w:color="auto" w:fill="1D3060"/>
          </w:tcPr>
          <w:p>
            <w:pPr>
              <w:spacing w:after="0"/>
              <w:rPr>
                <w:sz w:val="10"/>
                <w:szCs w:val="10"/>
                <w:color w:val="auto"/>
              </w:rPr>
            </w:pPr>
          </w:p>
        </w:tc>
        <w:tc>
          <w:tcPr>
            <w:tcW w:w="380" w:type="dxa"/>
            <w:vAlign w:val="bottom"/>
            <w:shd w:val="clear" w:color="auto" w:fill="1D3060"/>
          </w:tcPr>
          <w:p>
            <w:pPr>
              <w:spacing w:after="0"/>
              <w:rPr>
                <w:sz w:val="10"/>
                <w:szCs w:val="10"/>
                <w:color w:val="auto"/>
              </w:rPr>
            </w:pPr>
          </w:p>
        </w:tc>
        <w:tc>
          <w:tcPr>
            <w:tcW w:w="880" w:type="dxa"/>
            <w:vAlign w:val="bottom"/>
            <w:shd w:val="clear" w:color="auto" w:fill="1D3060"/>
          </w:tcPr>
          <w:p>
            <w:pPr>
              <w:spacing w:after="0"/>
              <w:rPr>
                <w:sz w:val="10"/>
                <w:szCs w:val="10"/>
                <w:color w:val="auto"/>
              </w:rPr>
            </w:pPr>
          </w:p>
        </w:tc>
        <w:tc>
          <w:tcPr>
            <w:tcW w:w="680" w:type="dxa"/>
            <w:vAlign w:val="bottom"/>
            <w:shd w:val="clear" w:color="auto" w:fill="1D3060"/>
          </w:tcPr>
          <w:p>
            <w:pPr>
              <w:spacing w:after="0"/>
              <w:rPr>
                <w:sz w:val="10"/>
                <w:szCs w:val="10"/>
                <w:color w:val="auto"/>
              </w:rPr>
            </w:pPr>
          </w:p>
        </w:tc>
        <w:tc>
          <w:tcPr>
            <w:tcW w:w="680" w:type="dxa"/>
            <w:vAlign w:val="bottom"/>
            <w:shd w:val="clear" w:color="auto" w:fill="1D3060"/>
          </w:tcPr>
          <w:p>
            <w:pPr>
              <w:jc w:val="center"/>
              <w:ind w:right="7"/>
              <w:spacing w:after="0" w:line="122" w:lineRule="exact"/>
              <w:rPr>
                <w:sz w:val="20"/>
                <w:szCs w:val="20"/>
                <w:color w:val="auto"/>
              </w:rPr>
            </w:pPr>
            <w:r>
              <w:rPr>
                <w:rFonts w:ascii="Arial" w:cs="Arial" w:eastAsia="Arial" w:hAnsi="Arial"/>
                <w:sz w:val="11"/>
                <w:szCs w:val="11"/>
                <w:b w:val="1"/>
                <w:bCs w:val="1"/>
                <w:color w:val="FFFFFF"/>
                <w:w w:val="97"/>
              </w:rPr>
              <w:t>Date Fair</w:t>
            </w:r>
          </w:p>
        </w:tc>
        <w:tc>
          <w:tcPr>
            <w:tcW w:w="0" w:type="dxa"/>
            <w:vAlign w:val="bottom"/>
          </w:tcPr>
          <w:p>
            <w:pPr>
              <w:spacing w:after="0"/>
              <w:rPr>
                <w:sz w:val="1"/>
                <w:szCs w:val="1"/>
                <w:color w:val="auto"/>
              </w:rPr>
            </w:pPr>
          </w:p>
        </w:tc>
      </w:tr>
      <w:tr>
        <w:trPr>
          <w:trHeight w:val="122"/>
        </w:trPr>
        <w:tc>
          <w:tcPr>
            <w:tcW w:w="3600" w:type="dxa"/>
            <w:vAlign w:val="bottom"/>
            <w:shd w:val="clear" w:color="auto" w:fill="1D3060"/>
          </w:tcPr>
          <w:p>
            <w:pPr>
              <w:spacing w:after="0"/>
              <w:rPr>
                <w:sz w:val="10"/>
                <w:szCs w:val="10"/>
                <w:color w:val="auto"/>
              </w:rPr>
            </w:pPr>
          </w:p>
        </w:tc>
        <w:tc>
          <w:tcPr>
            <w:tcW w:w="860" w:type="dxa"/>
            <w:vAlign w:val="bottom"/>
            <w:shd w:val="clear" w:color="auto" w:fill="1D3060"/>
          </w:tcPr>
          <w:p>
            <w:pPr>
              <w:spacing w:after="0"/>
              <w:rPr>
                <w:sz w:val="10"/>
                <w:szCs w:val="10"/>
                <w:color w:val="auto"/>
              </w:rPr>
            </w:pPr>
          </w:p>
        </w:tc>
        <w:tc>
          <w:tcPr>
            <w:tcW w:w="2300" w:type="dxa"/>
            <w:vAlign w:val="bottom"/>
            <w:gridSpan w:val="3"/>
            <w:shd w:val="clear" w:color="auto" w:fill="1D3060"/>
          </w:tcPr>
          <w:p>
            <w:pPr>
              <w:jc w:val="center"/>
              <w:ind w:left="26"/>
              <w:spacing w:after="0" w:line="122" w:lineRule="exact"/>
              <w:rPr>
                <w:sz w:val="20"/>
                <w:szCs w:val="20"/>
                <w:color w:val="auto"/>
              </w:rPr>
            </w:pPr>
            <w:r>
              <w:rPr>
                <w:rFonts w:ascii="Arial" w:cs="Arial" w:eastAsia="Arial" w:hAnsi="Arial"/>
                <w:sz w:val="11"/>
                <w:szCs w:val="11"/>
                <w:b w:val="1"/>
                <w:bCs w:val="1"/>
                <w:color w:val="FFFFFF"/>
                <w:w w:val="98"/>
              </w:rPr>
              <w:t>Estimated Future Payouts</w:t>
            </w:r>
          </w:p>
        </w:tc>
        <w:tc>
          <w:tcPr>
            <w:tcW w:w="2020" w:type="dxa"/>
            <w:vAlign w:val="bottom"/>
            <w:gridSpan w:val="4"/>
            <w:shd w:val="clear" w:color="auto" w:fill="1D3060"/>
          </w:tcPr>
          <w:p>
            <w:pPr>
              <w:jc w:val="center"/>
              <w:ind w:left="6"/>
              <w:spacing w:after="0" w:line="122" w:lineRule="exact"/>
              <w:rPr>
                <w:sz w:val="20"/>
                <w:szCs w:val="20"/>
                <w:color w:val="auto"/>
              </w:rPr>
            </w:pPr>
            <w:r>
              <w:rPr>
                <w:rFonts w:ascii="Arial" w:cs="Arial" w:eastAsia="Arial" w:hAnsi="Arial"/>
                <w:sz w:val="11"/>
                <w:szCs w:val="11"/>
                <w:b w:val="1"/>
                <w:bCs w:val="1"/>
                <w:color w:val="FFFFFF"/>
                <w:w w:val="97"/>
              </w:rPr>
              <w:t>Estimated Future Payouts</w:t>
            </w:r>
          </w:p>
        </w:tc>
        <w:tc>
          <w:tcPr>
            <w:tcW w:w="880" w:type="dxa"/>
            <w:vAlign w:val="bottom"/>
            <w:shd w:val="clear" w:color="auto" w:fill="1D3060"/>
          </w:tcPr>
          <w:p>
            <w:pPr>
              <w:jc w:val="center"/>
              <w:ind w:left="7"/>
              <w:spacing w:after="0" w:line="122" w:lineRule="exact"/>
              <w:rPr>
                <w:sz w:val="20"/>
                <w:szCs w:val="20"/>
                <w:color w:val="auto"/>
              </w:rPr>
            </w:pPr>
            <w:r>
              <w:rPr>
                <w:rFonts w:ascii="Arial" w:cs="Arial" w:eastAsia="Arial" w:hAnsi="Arial"/>
                <w:sz w:val="11"/>
                <w:szCs w:val="11"/>
                <w:b w:val="1"/>
                <w:bCs w:val="1"/>
                <w:color w:val="FFFFFF"/>
                <w:w w:val="98"/>
              </w:rPr>
              <w:t>All Other</w:t>
            </w:r>
          </w:p>
        </w:tc>
        <w:tc>
          <w:tcPr>
            <w:tcW w:w="680" w:type="dxa"/>
            <w:vAlign w:val="bottom"/>
            <w:shd w:val="clear" w:color="auto" w:fill="1D3060"/>
          </w:tcPr>
          <w:p>
            <w:pPr>
              <w:spacing w:after="0"/>
              <w:rPr>
                <w:sz w:val="10"/>
                <w:szCs w:val="10"/>
                <w:color w:val="auto"/>
              </w:rPr>
            </w:pPr>
          </w:p>
        </w:tc>
        <w:tc>
          <w:tcPr>
            <w:tcW w:w="680" w:type="dxa"/>
            <w:vAlign w:val="bottom"/>
            <w:shd w:val="clear" w:color="auto" w:fill="1D3060"/>
          </w:tcPr>
          <w:p>
            <w:pPr>
              <w:jc w:val="center"/>
              <w:ind w:right="7"/>
              <w:spacing w:after="0" w:line="122" w:lineRule="exact"/>
              <w:rPr>
                <w:sz w:val="20"/>
                <w:szCs w:val="20"/>
                <w:color w:val="auto"/>
              </w:rPr>
            </w:pPr>
            <w:r>
              <w:rPr>
                <w:rFonts w:ascii="Arial" w:cs="Arial" w:eastAsia="Arial" w:hAnsi="Arial"/>
                <w:sz w:val="11"/>
                <w:szCs w:val="11"/>
                <w:b w:val="1"/>
                <w:bCs w:val="1"/>
                <w:color w:val="FFFFFF"/>
                <w:w w:val="98"/>
              </w:rPr>
              <w:t>Value of</w:t>
            </w:r>
          </w:p>
        </w:tc>
        <w:tc>
          <w:tcPr>
            <w:tcW w:w="0" w:type="dxa"/>
            <w:vAlign w:val="bottom"/>
          </w:tcPr>
          <w:p>
            <w:pPr>
              <w:spacing w:after="0"/>
              <w:rPr>
                <w:sz w:val="1"/>
                <w:szCs w:val="1"/>
                <w:color w:val="auto"/>
              </w:rPr>
            </w:pPr>
          </w:p>
        </w:tc>
      </w:tr>
      <w:tr>
        <w:trPr>
          <w:trHeight w:val="122"/>
        </w:trPr>
        <w:tc>
          <w:tcPr>
            <w:tcW w:w="3600" w:type="dxa"/>
            <w:vAlign w:val="bottom"/>
            <w:shd w:val="clear" w:color="auto" w:fill="1D3060"/>
          </w:tcPr>
          <w:p>
            <w:pPr>
              <w:spacing w:after="0"/>
              <w:rPr>
                <w:sz w:val="10"/>
                <w:szCs w:val="10"/>
                <w:color w:val="auto"/>
              </w:rPr>
            </w:pPr>
          </w:p>
        </w:tc>
        <w:tc>
          <w:tcPr>
            <w:tcW w:w="860" w:type="dxa"/>
            <w:vAlign w:val="bottom"/>
            <w:shd w:val="clear" w:color="auto" w:fill="1D3060"/>
          </w:tcPr>
          <w:p>
            <w:pPr>
              <w:spacing w:after="0"/>
              <w:rPr>
                <w:sz w:val="10"/>
                <w:szCs w:val="10"/>
                <w:color w:val="auto"/>
              </w:rPr>
            </w:pPr>
          </w:p>
        </w:tc>
        <w:tc>
          <w:tcPr>
            <w:tcW w:w="2300" w:type="dxa"/>
            <w:vAlign w:val="bottom"/>
            <w:gridSpan w:val="3"/>
            <w:shd w:val="clear" w:color="auto" w:fill="1D3060"/>
          </w:tcPr>
          <w:p>
            <w:pPr>
              <w:jc w:val="center"/>
              <w:ind w:left="26"/>
              <w:spacing w:after="0" w:line="122" w:lineRule="exact"/>
              <w:rPr>
                <w:sz w:val="20"/>
                <w:szCs w:val="20"/>
                <w:color w:val="auto"/>
              </w:rPr>
            </w:pPr>
            <w:r>
              <w:rPr>
                <w:rFonts w:ascii="Arial" w:cs="Arial" w:eastAsia="Arial" w:hAnsi="Arial"/>
                <w:sz w:val="11"/>
                <w:szCs w:val="11"/>
                <w:b w:val="1"/>
                <w:bCs w:val="1"/>
                <w:color w:val="FFFFFF"/>
                <w:w w:val="98"/>
              </w:rPr>
              <w:t>Under Non-Equity Incentive</w:t>
            </w:r>
          </w:p>
        </w:tc>
        <w:tc>
          <w:tcPr>
            <w:tcW w:w="1640" w:type="dxa"/>
            <w:vAlign w:val="bottom"/>
            <w:gridSpan w:val="3"/>
            <w:shd w:val="clear" w:color="auto" w:fill="1D3060"/>
          </w:tcPr>
          <w:p>
            <w:pPr>
              <w:jc w:val="center"/>
              <w:ind w:left="386"/>
              <w:spacing w:after="0" w:line="122" w:lineRule="exact"/>
              <w:rPr>
                <w:sz w:val="20"/>
                <w:szCs w:val="20"/>
                <w:color w:val="auto"/>
              </w:rPr>
            </w:pPr>
            <w:r>
              <w:rPr>
                <w:rFonts w:ascii="Arial" w:cs="Arial" w:eastAsia="Arial" w:hAnsi="Arial"/>
                <w:sz w:val="11"/>
                <w:szCs w:val="11"/>
                <w:b w:val="1"/>
                <w:bCs w:val="1"/>
                <w:color w:val="FFFFFF"/>
                <w:w w:val="97"/>
              </w:rPr>
              <w:t>Under Equity Incentive</w:t>
            </w:r>
          </w:p>
        </w:tc>
        <w:tc>
          <w:tcPr>
            <w:tcW w:w="380" w:type="dxa"/>
            <w:vAlign w:val="bottom"/>
            <w:shd w:val="clear" w:color="auto" w:fill="1D3060"/>
          </w:tcPr>
          <w:p>
            <w:pPr>
              <w:spacing w:after="0"/>
              <w:rPr>
                <w:sz w:val="10"/>
                <w:szCs w:val="10"/>
                <w:color w:val="auto"/>
              </w:rPr>
            </w:pPr>
          </w:p>
        </w:tc>
        <w:tc>
          <w:tcPr>
            <w:tcW w:w="880" w:type="dxa"/>
            <w:vAlign w:val="bottom"/>
            <w:shd w:val="clear" w:color="auto" w:fill="1D3060"/>
          </w:tcPr>
          <w:p>
            <w:pPr>
              <w:jc w:val="center"/>
              <w:ind w:left="7"/>
              <w:spacing w:after="0" w:line="122" w:lineRule="exact"/>
              <w:rPr>
                <w:sz w:val="20"/>
                <w:szCs w:val="20"/>
                <w:color w:val="auto"/>
              </w:rPr>
            </w:pPr>
            <w:r>
              <w:rPr>
                <w:rFonts w:ascii="Arial" w:cs="Arial" w:eastAsia="Arial" w:hAnsi="Arial"/>
                <w:sz w:val="11"/>
                <w:szCs w:val="11"/>
                <w:b w:val="1"/>
                <w:bCs w:val="1"/>
                <w:color w:val="FFFFFF"/>
                <w:w w:val="95"/>
              </w:rPr>
              <w:t>Option</w:t>
            </w:r>
          </w:p>
        </w:tc>
        <w:tc>
          <w:tcPr>
            <w:tcW w:w="680" w:type="dxa"/>
            <w:vAlign w:val="bottom"/>
            <w:shd w:val="clear" w:color="auto" w:fill="1D3060"/>
          </w:tcPr>
          <w:p>
            <w:pPr>
              <w:jc w:val="center"/>
              <w:spacing w:after="0" w:line="122" w:lineRule="exact"/>
              <w:rPr>
                <w:sz w:val="20"/>
                <w:szCs w:val="20"/>
                <w:color w:val="auto"/>
              </w:rPr>
            </w:pPr>
            <w:r>
              <w:rPr>
                <w:rFonts w:ascii="Arial" w:cs="Arial" w:eastAsia="Arial" w:hAnsi="Arial"/>
                <w:sz w:val="11"/>
                <w:szCs w:val="11"/>
                <w:b w:val="1"/>
                <w:bCs w:val="1"/>
                <w:color w:val="FFFFFF"/>
                <w:w w:val="97"/>
              </w:rPr>
              <w:t>Exercise</w:t>
            </w:r>
          </w:p>
        </w:tc>
        <w:tc>
          <w:tcPr>
            <w:tcW w:w="680" w:type="dxa"/>
            <w:vAlign w:val="bottom"/>
            <w:shd w:val="clear" w:color="auto" w:fill="1D3060"/>
          </w:tcPr>
          <w:p>
            <w:pPr>
              <w:jc w:val="center"/>
              <w:ind w:right="7"/>
              <w:spacing w:after="0" w:line="122" w:lineRule="exact"/>
              <w:rPr>
                <w:sz w:val="20"/>
                <w:szCs w:val="20"/>
                <w:color w:val="auto"/>
              </w:rPr>
            </w:pPr>
            <w:r>
              <w:rPr>
                <w:rFonts w:ascii="Arial" w:cs="Arial" w:eastAsia="Arial" w:hAnsi="Arial"/>
                <w:sz w:val="11"/>
                <w:szCs w:val="11"/>
                <w:b w:val="1"/>
                <w:bCs w:val="1"/>
                <w:color w:val="FFFFFF"/>
                <w:w w:val="99"/>
              </w:rPr>
              <w:t>Stock</w:t>
            </w:r>
          </w:p>
        </w:tc>
        <w:tc>
          <w:tcPr>
            <w:tcW w:w="0" w:type="dxa"/>
            <w:vAlign w:val="bottom"/>
          </w:tcPr>
          <w:p>
            <w:pPr>
              <w:spacing w:after="0"/>
              <w:rPr>
                <w:sz w:val="1"/>
                <w:szCs w:val="1"/>
                <w:color w:val="auto"/>
              </w:rPr>
            </w:pPr>
          </w:p>
        </w:tc>
      </w:tr>
      <w:tr>
        <w:trPr>
          <w:trHeight w:val="180"/>
        </w:trPr>
        <w:tc>
          <w:tcPr>
            <w:tcW w:w="3600" w:type="dxa"/>
            <w:vAlign w:val="bottom"/>
            <w:tcBorders>
              <w:bottom w:val="single" w:sz="8" w:color="1D3060"/>
            </w:tcBorders>
            <w:shd w:val="clear" w:color="auto" w:fill="1D3060"/>
          </w:tcPr>
          <w:p>
            <w:pPr>
              <w:spacing w:after="0"/>
              <w:rPr>
                <w:sz w:val="15"/>
                <w:szCs w:val="15"/>
                <w:color w:val="auto"/>
              </w:rPr>
            </w:pPr>
          </w:p>
        </w:tc>
        <w:tc>
          <w:tcPr>
            <w:tcW w:w="860" w:type="dxa"/>
            <w:vAlign w:val="bottom"/>
            <w:tcBorders>
              <w:bottom w:val="single" w:sz="8" w:color="1D3060"/>
            </w:tcBorders>
            <w:shd w:val="clear" w:color="auto" w:fill="1D3060"/>
          </w:tcPr>
          <w:p>
            <w:pPr>
              <w:spacing w:after="0"/>
              <w:rPr>
                <w:sz w:val="15"/>
                <w:szCs w:val="15"/>
                <w:color w:val="auto"/>
              </w:rPr>
            </w:pPr>
          </w:p>
        </w:tc>
        <w:tc>
          <w:tcPr>
            <w:tcW w:w="740" w:type="dxa"/>
            <w:vAlign w:val="bottom"/>
            <w:tcBorders>
              <w:bottom w:val="single" w:sz="8" w:color="1D3060"/>
            </w:tcBorders>
            <w:shd w:val="clear" w:color="auto" w:fill="1D3060"/>
          </w:tcPr>
          <w:p>
            <w:pPr>
              <w:spacing w:after="0"/>
              <w:rPr>
                <w:sz w:val="15"/>
                <w:szCs w:val="15"/>
                <w:color w:val="auto"/>
              </w:rPr>
            </w:pPr>
          </w:p>
        </w:tc>
        <w:tc>
          <w:tcPr>
            <w:tcW w:w="880" w:type="dxa"/>
            <w:vAlign w:val="bottom"/>
            <w:tcBorders>
              <w:bottom w:val="single" w:sz="8" w:color="1D3060"/>
            </w:tcBorders>
            <w:shd w:val="clear" w:color="auto" w:fill="1D3060"/>
          </w:tcPr>
          <w:p>
            <w:pPr>
              <w:jc w:val="center"/>
              <w:spacing w:after="0" w:line="122" w:lineRule="exact"/>
              <w:rPr>
                <w:sz w:val="20"/>
                <w:szCs w:val="20"/>
                <w:color w:val="auto"/>
              </w:rPr>
            </w:pPr>
            <w:r>
              <w:rPr>
                <w:rFonts w:ascii="Arial" w:cs="Arial" w:eastAsia="Arial" w:hAnsi="Arial"/>
                <w:sz w:val="11"/>
                <w:szCs w:val="11"/>
                <w:b w:val="1"/>
                <w:bCs w:val="1"/>
                <w:color w:val="FFFFFF"/>
                <w:w w:val="96"/>
              </w:rPr>
              <w:t>Plan Awards (1)</w:t>
            </w:r>
          </w:p>
        </w:tc>
        <w:tc>
          <w:tcPr>
            <w:tcW w:w="680" w:type="dxa"/>
            <w:vAlign w:val="bottom"/>
            <w:tcBorders>
              <w:bottom w:val="single" w:sz="8" w:color="1D3060"/>
            </w:tcBorders>
            <w:shd w:val="clear" w:color="auto" w:fill="1D3060"/>
          </w:tcPr>
          <w:p>
            <w:pPr>
              <w:spacing w:after="0"/>
              <w:rPr>
                <w:sz w:val="15"/>
                <w:szCs w:val="15"/>
                <w:color w:val="auto"/>
              </w:rPr>
            </w:pPr>
          </w:p>
        </w:tc>
        <w:tc>
          <w:tcPr>
            <w:tcW w:w="640" w:type="dxa"/>
            <w:vAlign w:val="bottom"/>
            <w:tcBorders>
              <w:bottom w:val="single" w:sz="8" w:color="1D3060"/>
            </w:tcBorders>
            <w:shd w:val="clear" w:color="auto" w:fill="1D3060"/>
          </w:tcPr>
          <w:p>
            <w:pPr>
              <w:spacing w:after="0"/>
              <w:rPr>
                <w:sz w:val="15"/>
                <w:szCs w:val="15"/>
                <w:color w:val="auto"/>
              </w:rPr>
            </w:pPr>
          </w:p>
        </w:tc>
        <w:tc>
          <w:tcPr>
            <w:tcW w:w="820" w:type="dxa"/>
            <w:vAlign w:val="bottom"/>
            <w:tcBorders>
              <w:bottom w:val="single" w:sz="8" w:color="1D3060"/>
            </w:tcBorders>
            <w:shd w:val="clear" w:color="auto" w:fill="1D3060"/>
          </w:tcPr>
          <w:p>
            <w:pPr>
              <w:jc w:val="center"/>
              <w:spacing w:after="0" w:line="122" w:lineRule="exact"/>
              <w:rPr>
                <w:sz w:val="20"/>
                <w:szCs w:val="20"/>
                <w:color w:val="auto"/>
              </w:rPr>
            </w:pPr>
            <w:r>
              <w:rPr>
                <w:rFonts w:ascii="Arial" w:cs="Arial" w:eastAsia="Arial" w:hAnsi="Arial"/>
                <w:sz w:val="11"/>
                <w:szCs w:val="11"/>
                <w:b w:val="1"/>
                <w:bCs w:val="1"/>
                <w:color w:val="FFFFFF"/>
                <w:w w:val="96"/>
              </w:rPr>
              <w:t>Plan Awards (2)</w:t>
            </w:r>
          </w:p>
        </w:tc>
        <w:tc>
          <w:tcPr>
            <w:tcW w:w="180" w:type="dxa"/>
            <w:vAlign w:val="bottom"/>
            <w:tcBorders>
              <w:bottom w:val="single" w:sz="8" w:color="1D3060"/>
            </w:tcBorders>
            <w:shd w:val="clear" w:color="auto" w:fill="1D3060"/>
          </w:tcPr>
          <w:p>
            <w:pPr>
              <w:spacing w:after="0"/>
              <w:rPr>
                <w:sz w:val="15"/>
                <w:szCs w:val="15"/>
                <w:color w:val="auto"/>
              </w:rPr>
            </w:pPr>
          </w:p>
        </w:tc>
        <w:tc>
          <w:tcPr>
            <w:tcW w:w="380" w:type="dxa"/>
            <w:vAlign w:val="bottom"/>
            <w:tcBorders>
              <w:bottom w:val="single" w:sz="8" w:color="1D3060"/>
            </w:tcBorders>
            <w:shd w:val="clear" w:color="auto" w:fill="1D3060"/>
          </w:tcPr>
          <w:p>
            <w:pPr>
              <w:spacing w:after="0"/>
              <w:rPr>
                <w:sz w:val="15"/>
                <w:szCs w:val="15"/>
                <w:color w:val="auto"/>
              </w:rPr>
            </w:pPr>
          </w:p>
        </w:tc>
        <w:tc>
          <w:tcPr>
            <w:tcW w:w="880" w:type="dxa"/>
            <w:vAlign w:val="bottom"/>
            <w:tcBorders>
              <w:bottom w:val="single" w:sz="8" w:color="1D3060"/>
            </w:tcBorders>
            <w:shd w:val="clear" w:color="auto" w:fill="1D3060"/>
          </w:tcPr>
          <w:p>
            <w:pPr>
              <w:jc w:val="center"/>
              <w:ind w:left="7"/>
              <w:spacing w:after="0" w:line="122" w:lineRule="exact"/>
              <w:rPr>
                <w:sz w:val="20"/>
                <w:szCs w:val="20"/>
                <w:color w:val="auto"/>
              </w:rPr>
            </w:pPr>
            <w:r>
              <w:rPr>
                <w:rFonts w:ascii="Arial" w:cs="Arial" w:eastAsia="Arial" w:hAnsi="Arial"/>
                <w:sz w:val="11"/>
                <w:szCs w:val="11"/>
                <w:b w:val="1"/>
                <w:bCs w:val="1"/>
                <w:color w:val="FFFFFF"/>
                <w:w w:val="96"/>
              </w:rPr>
              <w:t>Awards:</w:t>
            </w:r>
          </w:p>
        </w:tc>
        <w:tc>
          <w:tcPr>
            <w:tcW w:w="680" w:type="dxa"/>
            <w:vAlign w:val="bottom"/>
            <w:tcBorders>
              <w:bottom w:val="single" w:sz="8" w:color="1D3060"/>
            </w:tcBorders>
            <w:shd w:val="clear" w:color="auto" w:fill="1D3060"/>
          </w:tcPr>
          <w:p>
            <w:pPr>
              <w:jc w:val="center"/>
              <w:spacing w:after="0" w:line="122" w:lineRule="exact"/>
              <w:rPr>
                <w:sz w:val="20"/>
                <w:szCs w:val="20"/>
                <w:color w:val="auto"/>
              </w:rPr>
            </w:pPr>
            <w:r>
              <w:rPr>
                <w:rFonts w:ascii="Arial" w:cs="Arial" w:eastAsia="Arial" w:hAnsi="Arial"/>
                <w:sz w:val="11"/>
                <w:szCs w:val="11"/>
                <w:b w:val="1"/>
                <w:bCs w:val="1"/>
                <w:color w:val="FFFFFF"/>
                <w:w w:val="99"/>
              </w:rPr>
              <w:t>Price of</w:t>
            </w:r>
          </w:p>
        </w:tc>
        <w:tc>
          <w:tcPr>
            <w:tcW w:w="680" w:type="dxa"/>
            <w:vAlign w:val="bottom"/>
            <w:tcBorders>
              <w:bottom w:val="single" w:sz="8" w:color="1D3060"/>
            </w:tcBorders>
            <w:shd w:val="clear" w:color="auto" w:fill="1D3060"/>
          </w:tcPr>
          <w:p>
            <w:pPr>
              <w:jc w:val="center"/>
              <w:spacing w:after="0" w:line="122" w:lineRule="exact"/>
              <w:rPr>
                <w:sz w:val="20"/>
                <w:szCs w:val="20"/>
                <w:color w:val="auto"/>
              </w:rPr>
            </w:pPr>
            <w:r>
              <w:rPr>
                <w:rFonts w:ascii="Arial" w:cs="Arial" w:eastAsia="Arial" w:hAnsi="Arial"/>
                <w:sz w:val="11"/>
                <w:szCs w:val="11"/>
                <w:b w:val="1"/>
                <w:bCs w:val="1"/>
                <w:color w:val="FFFFFF"/>
              </w:rPr>
              <w:t>and</w:t>
            </w:r>
          </w:p>
        </w:tc>
        <w:tc>
          <w:tcPr>
            <w:tcW w:w="0" w:type="dxa"/>
            <w:vAlign w:val="bottom"/>
          </w:tcPr>
          <w:p>
            <w:pPr>
              <w:spacing w:after="0"/>
              <w:rPr>
                <w:sz w:val="1"/>
                <w:szCs w:val="1"/>
                <w:color w:val="auto"/>
              </w:rPr>
            </w:pPr>
          </w:p>
        </w:tc>
      </w:tr>
      <w:tr>
        <w:trPr>
          <w:trHeight w:val="48"/>
        </w:trPr>
        <w:tc>
          <w:tcPr>
            <w:tcW w:w="3600" w:type="dxa"/>
            <w:vAlign w:val="bottom"/>
            <w:tcBorders>
              <w:top w:val="single" w:sz="8" w:color="1D3060"/>
            </w:tcBorders>
            <w:shd w:val="clear" w:color="auto" w:fill="1D3060"/>
          </w:tcPr>
          <w:p>
            <w:pPr>
              <w:spacing w:after="0"/>
              <w:rPr>
                <w:sz w:val="4"/>
                <w:szCs w:val="4"/>
                <w:color w:val="auto"/>
              </w:rPr>
            </w:pPr>
          </w:p>
        </w:tc>
        <w:tc>
          <w:tcPr>
            <w:tcW w:w="860" w:type="dxa"/>
            <w:vAlign w:val="bottom"/>
            <w:tcBorders>
              <w:top w:val="single" w:sz="8" w:color="1D3060"/>
            </w:tcBorders>
            <w:shd w:val="clear" w:color="auto" w:fill="1D3060"/>
          </w:tcPr>
          <w:p>
            <w:pPr>
              <w:spacing w:after="0"/>
              <w:rPr>
                <w:sz w:val="4"/>
                <w:szCs w:val="4"/>
                <w:color w:val="auto"/>
              </w:rPr>
            </w:pPr>
          </w:p>
        </w:tc>
        <w:tc>
          <w:tcPr>
            <w:tcW w:w="740" w:type="dxa"/>
            <w:vAlign w:val="bottom"/>
            <w:tcBorders>
              <w:top w:val="single" w:sz="8" w:color="2275B5"/>
            </w:tcBorders>
            <w:shd w:val="clear" w:color="auto" w:fill="1D3060"/>
          </w:tcPr>
          <w:p>
            <w:pPr>
              <w:spacing w:after="0"/>
              <w:rPr>
                <w:sz w:val="4"/>
                <w:szCs w:val="4"/>
                <w:color w:val="auto"/>
              </w:rPr>
            </w:pPr>
          </w:p>
        </w:tc>
        <w:tc>
          <w:tcPr>
            <w:tcW w:w="880" w:type="dxa"/>
            <w:vAlign w:val="bottom"/>
            <w:tcBorders>
              <w:top w:val="single" w:sz="8" w:color="2275B5"/>
            </w:tcBorders>
            <w:shd w:val="clear" w:color="auto" w:fill="1D3060"/>
          </w:tcPr>
          <w:p>
            <w:pPr>
              <w:spacing w:after="0"/>
              <w:rPr>
                <w:sz w:val="4"/>
                <w:szCs w:val="4"/>
                <w:color w:val="auto"/>
              </w:rPr>
            </w:pPr>
          </w:p>
        </w:tc>
        <w:tc>
          <w:tcPr>
            <w:tcW w:w="680" w:type="dxa"/>
            <w:vAlign w:val="bottom"/>
            <w:tcBorders>
              <w:top w:val="single" w:sz="8" w:color="2275B5"/>
            </w:tcBorders>
            <w:shd w:val="clear" w:color="auto" w:fill="1D3060"/>
          </w:tcPr>
          <w:p>
            <w:pPr>
              <w:spacing w:after="0"/>
              <w:rPr>
                <w:sz w:val="4"/>
                <w:szCs w:val="4"/>
                <w:color w:val="auto"/>
              </w:rPr>
            </w:pPr>
          </w:p>
        </w:tc>
        <w:tc>
          <w:tcPr>
            <w:tcW w:w="640" w:type="dxa"/>
            <w:vAlign w:val="bottom"/>
            <w:tcBorders>
              <w:top w:val="single" w:sz="8" w:color="2275B5"/>
            </w:tcBorders>
            <w:shd w:val="clear" w:color="auto" w:fill="1D3060"/>
          </w:tcPr>
          <w:p>
            <w:pPr>
              <w:spacing w:after="0"/>
              <w:rPr>
                <w:sz w:val="4"/>
                <w:szCs w:val="4"/>
                <w:color w:val="auto"/>
              </w:rPr>
            </w:pPr>
          </w:p>
        </w:tc>
        <w:tc>
          <w:tcPr>
            <w:tcW w:w="820" w:type="dxa"/>
            <w:vAlign w:val="bottom"/>
            <w:tcBorders>
              <w:top w:val="single" w:sz="8" w:color="2275B5"/>
            </w:tcBorders>
            <w:shd w:val="clear" w:color="auto" w:fill="1D3060"/>
          </w:tcPr>
          <w:p>
            <w:pPr>
              <w:spacing w:after="0"/>
              <w:rPr>
                <w:sz w:val="4"/>
                <w:szCs w:val="4"/>
                <w:color w:val="auto"/>
              </w:rPr>
            </w:pPr>
          </w:p>
        </w:tc>
        <w:tc>
          <w:tcPr>
            <w:tcW w:w="180" w:type="dxa"/>
            <w:vAlign w:val="bottom"/>
            <w:tcBorders>
              <w:top w:val="single" w:sz="8" w:color="2275B5"/>
            </w:tcBorders>
            <w:shd w:val="clear" w:color="auto" w:fill="1D3060"/>
          </w:tcPr>
          <w:p>
            <w:pPr>
              <w:spacing w:after="0"/>
              <w:rPr>
                <w:sz w:val="4"/>
                <w:szCs w:val="4"/>
                <w:color w:val="auto"/>
              </w:rPr>
            </w:pPr>
          </w:p>
        </w:tc>
        <w:tc>
          <w:tcPr>
            <w:tcW w:w="380" w:type="dxa"/>
            <w:vAlign w:val="bottom"/>
            <w:tcBorders>
              <w:top w:val="single" w:sz="8" w:color="2275B5"/>
            </w:tcBorders>
            <w:shd w:val="clear" w:color="auto" w:fill="1D3060"/>
          </w:tcPr>
          <w:p>
            <w:pPr>
              <w:spacing w:after="0"/>
              <w:rPr>
                <w:sz w:val="4"/>
                <w:szCs w:val="4"/>
                <w:color w:val="auto"/>
              </w:rPr>
            </w:pPr>
          </w:p>
        </w:tc>
        <w:tc>
          <w:tcPr>
            <w:tcW w:w="880" w:type="dxa"/>
            <w:vAlign w:val="bottom"/>
            <w:tcBorders>
              <w:top w:val="single" w:sz="8" w:color="1D3060"/>
            </w:tcBorders>
            <w:shd w:val="clear" w:color="auto" w:fill="1D3060"/>
          </w:tcPr>
          <w:p>
            <w:pPr>
              <w:jc w:val="center"/>
              <w:ind w:left="7"/>
              <w:spacing w:after="0" w:line="48" w:lineRule="exact"/>
              <w:rPr>
                <w:sz w:val="20"/>
                <w:szCs w:val="20"/>
                <w:color w:val="auto"/>
              </w:rPr>
            </w:pPr>
            <w:r>
              <w:rPr>
                <w:rFonts w:ascii="Arial" w:cs="Arial" w:eastAsia="Arial" w:hAnsi="Arial"/>
                <w:sz w:val="5"/>
                <w:szCs w:val="5"/>
                <w:b w:val="1"/>
                <w:bCs w:val="1"/>
                <w:color w:val="FFFFFF"/>
              </w:rPr>
              <w:t>Number of</w:t>
            </w:r>
          </w:p>
        </w:tc>
        <w:tc>
          <w:tcPr>
            <w:tcW w:w="680" w:type="dxa"/>
            <w:vAlign w:val="bottom"/>
            <w:tcBorders>
              <w:top w:val="single" w:sz="8" w:color="1D3060"/>
            </w:tcBorders>
            <w:shd w:val="clear" w:color="auto" w:fill="1D3060"/>
          </w:tcPr>
          <w:p>
            <w:pPr>
              <w:jc w:val="center"/>
              <w:spacing w:after="0" w:line="48" w:lineRule="exact"/>
              <w:rPr>
                <w:sz w:val="20"/>
                <w:szCs w:val="20"/>
                <w:color w:val="auto"/>
              </w:rPr>
            </w:pPr>
            <w:r>
              <w:rPr>
                <w:rFonts w:ascii="Arial" w:cs="Arial" w:eastAsia="Arial" w:hAnsi="Arial"/>
                <w:sz w:val="5"/>
                <w:szCs w:val="5"/>
                <w:b w:val="1"/>
                <w:bCs w:val="1"/>
                <w:color w:val="FFFFFF"/>
              </w:rPr>
              <w:t>Option</w:t>
            </w:r>
          </w:p>
        </w:tc>
        <w:tc>
          <w:tcPr>
            <w:tcW w:w="680" w:type="dxa"/>
            <w:vAlign w:val="bottom"/>
            <w:tcBorders>
              <w:top w:val="single" w:sz="8" w:color="1D3060"/>
            </w:tcBorders>
            <w:shd w:val="clear" w:color="auto" w:fill="1D3060"/>
          </w:tcPr>
          <w:p>
            <w:pPr>
              <w:jc w:val="center"/>
              <w:ind w:right="7"/>
              <w:spacing w:after="0" w:line="48" w:lineRule="exact"/>
              <w:rPr>
                <w:sz w:val="20"/>
                <w:szCs w:val="20"/>
                <w:color w:val="auto"/>
              </w:rPr>
            </w:pPr>
            <w:r>
              <w:rPr>
                <w:rFonts w:ascii="Arial" w:cs="Arial" w:eastAsia="Arial" w:hAnsi="Arial"/>
                <w:sz w:val="5"/>
                <w:szCs w:val="5"/>
                <w:b w:val="1"/>
                <w:bCs w:val="1"/>
                <w:color w:val="FFFFFF"/>
              </w:rPr>
              <w:t>Option</w:t>
            </w:r>
          </w:p>
        </w:tc>
        <w:tc>
          <w:tcPr>
            <w:tcW w:w="0" w:type="dxa"/>
            <w:vAlign w:val="bottom"/>
          </w:tcPr>
          <w:p>
            <w:pPr>
              <w:spacing w:after="0"/>
              <w:rPr>
                <w:sz w:val="1"/>
                <w:szCs w:val="1"/>
                <w:color w:val="auto"/>
              </w:rPr>
            </w:pPr>
          </w:p>
        </w:tc>
      </w:tr>
      <w:tr>
        <w:trPr>
          <w:trHeight w:val="122"/>
        </w:trPr>
        <w:tc>
          <w:tcPr>
            <w:tcW w:w="3600" w:type="dxa"/>
            <w:vAlign w:val="bottom"/>
            <w:shd w:val="clear" w:color="auto" w:fill="1D3060"/>
          </w:tcPr>
          <w:p>
            <w:pPr>
              <w:spacing w:after="0"/>
              <w:rPr>
                <w:sz w:val="10"/>
                <w:szCs w:val="10"/>
                <w:color w:val="auto"/>
              </w:rPr>
            </w:pPr>
          </w:p>
        </w:tc>
        <w:tc>
          <w:tcPr>
            <w:tcW w:w="860" w:type="dxa"/>
            <w:vAlign w:val="bottom"/>
            <w:shd w:val="clear" w:color="auto" w:fill="1D3060"/>
          </w:tcPr>
          <w:p>
            <w:pPr>
              <w:spacing w:after="0"/>
              <w:rPr>
                <w:sz w:val="10"/>
                <w:szCs w:val="10"/>
                <w:color w:val="auto"/>
              </w:rPr>
            </w:pPr>
          </w:p>
        </w:tc>
        <w:tc>
          <w:tcPr>
            <w:tcW w:w="740" w:type="dxa"/>
            <w:vAlign w:val="bottom"/>
            <w:shd w:val="clear" w:color="auto" w:fill="1D3060"/>
          </w:tcPr>
          <w:p>
            <w:pPr>
              <w:spacing w:after="0"/>
              <w:rPr>
                <w:sz w:val="10"/>
                <w:szCs w:val="10"/>
                <w:color w:val="auto"/>
              </w:rPr>
            </w:pPr>
          </w:p>
        </w:tc>
        <w:tc>
          <w:tcPr>
            <w:tcW w:w="880" w:type="dxa"/>
            <w:vAlign w:val="bottom"/>
            <w:shd w:val="clear" w:color="auto" w:fill="1D3060"/>
          </w:tcPr>
          <w:p>
            <w:pPr>
              <w:spacing w:after="0"/>
              <w:rPr>
                <w:sz w:val="10"/>
                <w:szCs w:val="10"/>
                <w:color w:val="auto"/>
              </w:rPr>
            </w:pPr>
          </w:p>
        </w:tc>
        <w:tc>
          <w:tcPr>
            <w:tcW w:w="680" w:type="dxa"/>
            <w:vAlign w:val="bottom"/>
            <w:shd w:val="clear" w:color="auto" w:fill="1D3060"/>
          </w:tcPr>
          <w:p>
            <w:pPr>
              <w:spacing w:after="0"/>
              <w:rPr>
                <w:sz w:val="10"/>
                <w:szCs w:val="10"/>
                <w:color w:val="auto"/>
              </w:rPr>
            </w:pPr>
          </w:p>
        </w:tc>
        <w:tc>
          <w:tcPr>
            <w:tcW w:w="640" w:type="dxa"/>
            <w:vAlign w:val="bottom"/>
            <w:shd w:val="clear" w:color="auto" w:fill="1D3060"/>
          </w:tcPr>
          <w:p>
            <w:pPr>
              <w:spacing w:after="0"/>
              <w:rPr>
                <w:sz w:val="10"/>
                <w:szCs w:val="10"/>
                <w:color w:val="auto"/>
              </w:rPr>
            </w:pPr>
          </w:p>
        </w:tc>
        <w:tc>
          <w:tcPr>
            <w:tcW w:w="820" w:type="dxa"/>
            <w:vAlign w:val="bottom"/>
            <w:shd w:val="clear" w:color="auto" w:fill="1D3060"/>
          </w:tcPr>
          <w:p>
            <w:pPr>
              <w:spacing w:after="0"/>
              <w:rPr>
                <w:sz w:val="10"/>
                <w:szCs w:val="10"/>
                <w:color w:val="auto"/>
              </w:rPr>
            </w:pPr>
          </w:p>
        </w:tc>
        <w:tc>
          <w:tcPr>
            <w:tcW w:w="180" w:type="dxa"/>
            <w:vAlign w:val="bottom"/>
            <w:shd w:val="clear" w:color="auto" w:fill="1D3060"/>
          </w:tcPr>
          <w:p>
            <w:pPr>
              <w:spacing w:after="0"/>
              <w:rPr>
                <w:sz w:val="10"/>
                <w:szCs w:val="10"/>
                <w:color w:val="auto"/>
              </w:rPr>
            </w:pPr>
          </w:p>
        </w:tc>
        <w:tc>
          <w:tcPr>
            <w:tcW w:w="380" w:type="dxa"/>
            <w:vAlign w:val="bottom"/>
            <w:shd w:val="clear" w:color="auto" w:fill="1D3060"/>
          </w:tcPr>
          <w:p>
            <w:pPr>
              <w:spacing w:after="0"/>
              <w:rPr>
                <w:sz w:val="10"/>
                <w:szCs w:val="10"/>
                <w:color w:val="auto"/>
              </w:rPr>
            </w:pPr>
          </w:p>
        </w:tc>
        <w:tc>
          <w:tcPr>
            <w:tcW w:w="880" w:type="dxa"/>
            <w:vAlign w:val="bottom"/>
            <w:shd w:val="clear" w:color="auto" w:fill="1D3060"/>
          </w:tcPr>
          <w:p>
            <w:pPr>
              <w:jc w:val="center"/>
              <w:ind w:left="7"/>
              <w:spacing w:after="0" w:line="122" w:lineRule="exact"/>
              <w:rPr>
                <w:sz w:val="20"/>
                <w:szCs w:val="20"/>
                <w:color w:val="auto"/>
              </w:rPr>
            </w:pPr>
            <w:r>
              <w:rPr>
                <w:rFonts w:ascii="Arial" w:cs="Arial" w:eastAsia="Arial" w:hAnsi="Arial"/>
                <w:sz w:val="11"/>
                <w:szCs w:val="11"/>
                <w:b w:val="1"/>
                <w:bCs w:val="1"/>
                <w:color w:val="FFFFFF"/>
                <w:w w:val="94"/>
              </w:rPr>
              <w:t>Securities</w:t>
            </w:r>
          </w:p>
        </w:tc>
        <w:tc>
          <w:tcPr>
            <w:tcW w:w="680" w:type="dxa"/>
            <w:vAlign w:val="bottom"/>
            <w:shd w:val="clear" w:color="auto" w:fill="1D3060"/>
          </w:tcPr>
          <w:p>
            <w:pPr>
              <w:jc w:val="center"/>
              <w:spacing w:after="0" w:line="122" w:lineRule="exact"/>
              <w:rPr>
                <w:sz w:val="20"/>
                <w:szCs w:val="20"/>
                <w:color w:val="auto"/>
              </w:rPr>
            </w:pPr>
            <w:r>
              <w:rPr>
                <w:rFonts w:ascii="Arial" w:cs="Arial" w:eastAsia="Arial" w:hAnsi="Arial"/>
                <w:sz w:val="11"/>
                <w:szCs w:val="11"/>
                <w:b w:val="1"/>
                <w:bCs w:val="1"/>
                <w:color w:val="FFFFFF"/>
                <w:w w:val="95"/>
              </w:rPr>
              <w:t>Awards</w:t>
            </w:r>
          </w:p>
        </w:tc>
        <w:tc>
          <w:tcPr>
            <w:tcW w:w="680" w:type="dxa"/>
            <w:vAlign w:val="bottom"/>
            <w:shd w:val="clear" w:color="auto" w:fill="1D3060"/>
          </w:tcPr>
          <w:p>
            <w:pPr>
              <w:jc w:val="center"/>
              <w:spacing w:after="0" w:line="122" w:lineRule="exact"/>
              <w:rPr>
                <w:sz w:val="20"/>
                <w:szCs w:val="20"/>
                <w:color w:val="auto"/>
              </w:rPr>
            </w:pPr>
            <w:r>
              <w:rPr>
                <w:rFonts w:ascii="Arial" w:cs="Arial" w:eastAsia="Arial" w:hAnsi="Arial"/>
                <w:sz w:val="11"/>
                <w:szCs w:val="11"/>
                <w:b w:val="1"/>
                <w:bCs w:val="1"/>
                <w:color w:val="FFFFFF"/>
                <w:w w:val="95"/>
              </w:rPr>
              <w:t>Award</w:t>
            </w:r>
          </w:p>
        </w:tc>
        <w:tc>
          <w:tcPr>
            <w:tcW w:w="0" w:type="dxa"/>
            <w:vAlign w:val="bottom"/>
          </w:tcPr>
          <w:p>
            <w:pPr>
              <w:spacing w:after="0"/>
              <w:rPr>
                <w:sz w:val="1"/>
                <w:szCs w:val="1"/>
                <w:color w:val="auto"/>
              </w:rPr>
            </w:pPr>
          </w:p>
        </w:tc>
      </w:tr>
      <w:tr>
        <w:trPr>
          <w:trHeight w:val="122"/>
        </w:trPr>
        <w:tc>
          <w:tcPr>
            <w:tcW w:w="3600" w:type="dxa"/>
            <w:vAlign w:val="bottom"/>
            <w:shd w:val="clear" w:color="auto" w:fill="1D3060"/>
          </w:tcPr>
          <w:p>
            <w:pPr>
              <w:spacing w:after="0"/>
              <w:rPr>
                <w:sz w:val="10"/>
                <w:szCs w:val="10"/>
                <w:color w:val="auto"/>
              </w:rPr>
            </w:pPr>
          </w:p>
        </w:tc>
        <w:tc>
          <w:tcPr>
            <w:tcW w:w="860" w:type="dxa"/>
            <w:vAlign w:val="bottom"/>
            <w:shd w:val="clear" w:color="auto" w:fill="1D3060"/>
          </w:tcPr>
          <w:p>
            <w:pPr>
              <w:jc w:val="right"/>
              <w:ind w:right="186"/>
              <w:spacing w:after="0" w:line="122" w:lineRule="exact"/>
              <w:rPr>
                <w:sz w:val="20"/>
                <w:szCs w:val="20"/>
                <w:color w:val="auto"/>
              </w:rPr>
            </w:pPr>
            <w:r>
              <w:rPr>
                <w:rFonts w:ascii="Arial" w:cs="Arial" w:eastAsia="Arial" w:hAnsi="Arial"/>
                <w:sz w:val="11"/>
                <w:szCs w:val="11"/>
                <w:b w:val="1"/>
                <w:bCs w:val="1"/>
                <w:color w:val="FFFFFF"/>
              </w:rPr>
              <w:t>Date of</w:t>
            </w:r>
          </w:p>
        </w:tc>
        <w:tc>
          <w:tcPr>
            <w:tcW w:w="740" w:type="dxa"/>
            <w:vAlign w:val="bottom"/>
            <w:shd w:val="clear" w:color="auto" w:fill="1D3060"/>
          </w:tcPr>
          <w:p>
            <w:pPr>
              <w:jc w:val="right"/>
              <w:spacing w:after="0" w:line="122" w:lineRule="exact"/>
              <w:rPr>
                <w:sz w:val="20"/>
                <w:szCs w:val="20"/>
                <w:color w:val="auto"/>
              </w:rPr>
            </w:pPr>
            <w:r>
              <w:rPr>
                <w:rFonts w:ascii="Arial" w:cs="Arial" w:eastAsia="Arial" w:hAnsi="Arial"/>
                <w:sz w:val="11"/>
                <w:szCs w:val="11"/>
                <w:b w:val="1"/>
                <w:bCs w:val="1"/>
                <w:color w:val="FFFFFF"/>
              </w:rPr>
              <w:t>Threshold</w:t>
            </w:r>
          </w:p>
        </w:tc>
        <w:tc>
          <w:tcPr>
            <w:tcW w:w="880" w:type="dxa"/>
            <w:vAlign w:val="bottom"/>
            <w:shd w:val="clear" w:color="auto" w:fill="1D3060"/>
          </w:tcPr>
          <w:p>
            <w:pPr>
              <w:jc w:val="right"/>
              <w:ind w:right="326"/>
              <w:spacing w:after="0" w:line="122" w:lineRule="exact"/>
              <w:rPr>
                <w:sz w:val="20"/>
                <w:szCs w:val="20"/>
                <w:color w:val="auto"/>
              </w:rPr>
            </w:pPr>
            <w:r>
              <w:rPr>
                <w:rFonts w:ascii="Arial" w:cs="Arial" w:eastAsia="Arial" w:hAnsi="Arial"/>
                <w:sz w:val="11"/>
                <w:szCs w:val="11"/>
                <w:b w:val="1"/>
                <w:bCs w:val="1"/>
                <w:color w:val="FFFFFF"/>
              </w:rPr>
              <w:t>Target</w:t>
            </w:r>
          </w:p>
        </w:tc>
        <w:tc>
          <w:tcPr>
            <w:tcW w:w="680" w:type="dxa"/>
            <w:vAlign w:val="bottom"/>
            <w:shd w:val="clear" w:color="auto" w:fill="1D3060"/>
          </w:tcPr>
          <w:p>
            <w:pPr>
              <w:jc w:val="right"/>
              <w:ind w:right="86"/>
              <w:spacing w:after="0" w:line="122" w:lineRule="exact"/>
              <w:rPr>
                <w:sz w:val="20"/>
                <w:szCs w:val="20"/>
                <w:color w:val="auto"/>
              </w:rPr>
            </w:pPr>
            <w:r>
              <w:rPr>
                <w:rFonts w:ascii="Arial" w:cs="Arial" w:eastAsia="Arial" w:hAnsi="Arial"/>
                <w:sz w:val="11"/>
                <w:szCs w:val="11"/>
                <w:b w:val="1"/>
                <w:bCs w:val="1"/>
                <w:color w:val="FFFFFF"/>
              </w:rPr>
              <w:t>Maximum</w:t>
            </w:r>
          </w:p>
        </w:tc>
        <w:tc>
          <w:tcPr>
            <w:tcW w:w="640" w:type="dxa"/>
            <w:vAlign w:val="bottom"/>
            <w:shd w:val="clear" w:color="auto" w:fill="1D3060"/>
          </w:tcPr>
          <w:p>
            <w:pPr>
              <w:jc w:val="right"/>
              <w:spacing w:after="0" w:line="122" w:lineRule="exact"/>
              <w:rPr>
                <w:sz w:val="20"/>
                <w:szCs w:val="20"/>
                <w:color w:val="auto"/>
              </w:rPr>
            </w:pPr>
            <w:r>
              <w:rPr>
                <w:rFonts w:ascii="Arial" w:cs="Arial" w:eastAsia="Arial" w:hAnsi="Arial"/>
                <w:sz w:val="11"/>
                <w:szCs w:val="11"/>
                <w:b w:val="1"/>
                <w:bCs w:val="1"/>
                <w:color w:val="FFFFFF"/>
              </w:rPr>
              <w:t>Threshold</w:t>
            </w:r>
          </w:p>
        </w:tc>
        <w:tc>
          <w:tcPr>
            <w:tcW w:w="820" w:type="dxa"/>
            <w:vAlign w:val="bottom"/>
            <w:shd w:val="clear" w:color="auto" w:fill="1D3060"/>
          </w:tcPr>
          <w:p>
            <w:pPr>
              <w:jc w:val="center"/>
              <w:ind w:right="6"/>
              <w:spacing w:after="0" w:line="122" w:lineRule="exact"/>
              <w:rPr>
                <w:sz w:val="20"/>
                <w:szCs w:val="20"/>
                <w:color w:val="auto"/>
              </w:rPr>
            </w:pPr>
            <w:r>
              <w:rPr>
                <w:rFonts w:ascii="Arial" w:cs="Arial" w:eastAsia="Arial" w:hAnsi="Arial"/>
                <w:sz w:val="11"/>
                <w:szCs w:val="11"/>
                <w:b w:val="1"/>
                <w:bCs w:val="1"/>
                <w:color w:val="FFFFFF"/>
                <w:w w:val="95"/>
              </w:rPr>
              <w:t>Target</w:t>
            </w:r>
          </w:p>
        </w:tc>
        <w:tc>
          <w:tcPr>
            <w:tcW w:w="560" w:type="dxa"/>
            <w:vAlign w:val="bottom"/>
            <w:gridSpan w:val="2"/>
            <w:shd w:val="clear" w:color="auto" w:fill="1D3060"/>
          </w:tcPr>
          <w:p>
            <w:pPr>
              <w:jc w:val="right"/>
              <w:ind w:right="6"/>
              <w:spacing w:after="0" w:line="122" w:lineRule="exact"/>
              <w:rPr>
                <w:sz w:val="20"/>
                <w:szCs w:val="20"/>
                <w:color w:val="auto"/>
              </w:rPr>
            </w:pPr>
            <w:r>
              <w:rPr>
                <w:rFonts w:ascii="Arial" w:cs="Arial" w:eastAsia="Arial" w:hAnsi="Arial"/>
                <w:sz w:val="11"/>
                <w:szCs w:val="11"/>
                <w:b w:val="1"/>
                <w:bCs w:val="1"/>
                <w:color w:val="FFFFFF"/>
                <w:w w:val="94"/>
              </w:rPr>
              <w:t>Maximum</w:t>
            </w:r>
          </w:p>
        </w:tc>
        <w:tc>
          <w:tcPr>
            <w:tcW w:w="880" w:type="dxa"/>
            <w:vAlign w:val="bottom"/>
            <w:shd w:val="clear" w:color="auto" w:fill="1D3060"/>
          </w:tcPr>
          <w:p>
            <w:pPr>
              <w:jc w:val="center"/>
              <w:ind w:left="7"/>
              <w:spacing w:after="0" w:line="122" w:lineRule="exact"/>
              <w:rPr>
                <w:sz w:val="20"/>
                <w:szCs w:val="20"/>
                <w:color w:val="auto"/>
              </w:rPr>
            </w:pPr>
            <w:r>
              <w:rPr>
                <w:rFonts w:ascii="Arial" w:cs="Arial" w:eastAsia="Arial" w:hAnsi="Arial"/>
                <w:sz w:val="11"/>
                <w:szCs w:val="11"/>
                <w:b w:val="1"/>
                <w:bCs w:val="1"/>
                <w:color w:val="FFFFFF"/>
              </w:rPr>
              <w:t>Underlying</w:t>
            </w:r>
          </w:p>
        </w:tc>
        <w:tc>
          <w:tcPr>
            <w:tcW w:w="680" w:type="dxa"/>
            <w:vAlign w:val="bottom"/>
            <w:shd w:val="clear" w:color="auto" w:fill="1D3060"/>
          </w:tcPr>
          <w:p>
            <w:pPr>
              <w:jc w:val="right"/>
              <w:ind w:right="48"/>
              <w:spacing w:after="0" w:line="122" w:lineRule="exact"/>
              <w:rPr>
                <w:sz w:val="20"/>
                <w:szCs w:val="20"/>
                <w:color w:val="auto"/>
              </w:rPr>
            </w:pPr>
            <w:r>
              <w:rPr>
                <w:rFonts w:ascii="Arial" w:cs="Arial" w:eastAsia="Arial" w:hAnsi="Arial"/>
                <w:sz w:val="11"/>
                <w:szCs w:val="11"/>
                <w:b w:val="1"/>
                <w:bCs w:val="1"/>
                <w:color w:val="FFFFFF"/>
              </w:rPr>
              <w:t>($/Share)</w:t>
            </w:r>
          </w:p>
        </w:tc>
        <w:tc>
          <w:tcPr>
            <w:tcW w:w="680" w:type="dxa"/>
            <w:vAlign w:val="bottom"/>
            <w:shd w:val="clear" w:color="auto" w:fill="1D3060"/>
          </w:tcPr>
          <w:p>
            <w:pPr>
              <w:jc w:val="center"/>
              <w:ind w:right="7"/>
              <w:spacing w:after="0" w:line="122" w:lineRule="exact"/>
              <w:rPr>
                <w:sz w:val="20"/>
                <w:szCs w:val="20"/>
                <w:color w:val="auto"/>
              </w:rPr>
            </w:pPr>
            <w:r>
              <w:rPr>
                <w:rFonts w:ascii="Arial" w:cs="Arial" w:eastAsia="Arial" w:hAnsi="Arial"/>
                <w:sz w:val="11"/>
                <w:szCs w:val="11"/>
                <w:b w:val="1"/>
                <w:bCs w:val="1"/>
                <w:color w:val="FFFFFF"/>
                <w:w w:val="95"/>
              </w:rPr>
              <w:t>Grants</w:t>
            </w:r>
          </w:p>
        </w:tc>
        <w:tc>
          <w:tcPr>
            <w:tcW w:w="0" w:type="dxa"/>
            <w:vAlign w:val="bottom"/>
          </w:tcPr>
          <w:p>
            <w:pPr>
              <w:spacing w:after="0"/>
              <w:rPr>
                <w:sz w:val="1"/>
                <w:szCs w:val="1"/>
                <w:color w:val="auto"/>
              </w:rPr>
            </w:pPr>
          </w:p>
        </w:tc>
      </w:tr>
      <w:tr>
        <w:trPr>
          <w:trHeight w:val="175"/>
        </w:trPr>
        <w:tc>
          <w:tcPr>
            <w:tcW w:w="3600" w:type="dxa"/>
            <w:vAlign w:val="bottom"/>
            <w:shd w:val="clear" w:color="auto" w:fill="1D3060"/>
          </w:tcPr>
          <w:p>
            <w:pPr>
              <w:spacing w:after="0"/>
              <w:rPr>
                <w:sz w:val="20"/>
                <w:szCs w:val="20"/>
                <w:color w:val="auto"/>
              </w:rPr>
            </w:pPr>
            <w:r>
              <w:rPr>
                <w:rFonts w:ascii="Arial" w:cs="Arial" w:eastAsia="Arial" w:hAnsi="Arial"/>
                <w:sz w:val="11"/>
                <w:szCs w:val="11"/>
                <w:b w:val="1"/>
                <w:bCs w:val="1"/>
                <w:color w:val="FFFFFF"/>
              </w:rPr>
              <w:t>  Name</w:t>
            </w:r>
          </w:p>
        </w:tc>
        <w:tc>
          <w:tcPr>
            <w:tcW w:w="860" w:type="dxa"/>
            <w:vAlign w:val="bottom"/>
            <w:shd w:val="clear" w:color="auto" w:fill="1D3060"/>
          </w:tcPr>
          <w:p>
            <w:pPr>
              <w:jc w:val="right"/>
              <w:ind w:right="226"/>
              <w:spacing w:after="0"/>
              <w:rPr>
                <w:sz w:val="20"/>
                <w:szCs w:val="20"/>
                <w:color w:val="auto"/>
              </w:rPr>
            </w:pPr>
            <w:r>
              <w:rPr>
                <w:rFonts w:ascii="Arial" w:cs="Arial" w:eastAsia="Arial" w:hAnsi="Arial"/>
                <w:sz w:val="11"/>
                <w:szCs w:val="11"/>
                <w:b w:val="1"/>
                <w:bCs w:val="1"/>
                <w:color w:val="FFFFFF"/>
              </w:rPr>
              <w:t>Grant</w:t>
            </w:r>
          </w:p>
        </w:tc>
        <w:tc>
          <w:tcPr>
            <w:tcW w:w="740" w:type="dxa"/>
            <w:vAlign w:val="bottom"/>
            <w:shd w:val="clear" w:color="auto" w:fill="1D3060"/>
          </w:tcPr>
          <w:p>
            <w:pPr>
              <w:jc w:val="right"/>
              <w:ind w:right="186"/>
              <w:spacing w:after="0"/>
              <w:rPr>
                <w:sz w:val="20"/>
                <w:szCs w:val="20"/>
                <w:color w:val="auto"/>
              </w:rPr>
            </w:pPr>
            <w:r>
              <w:rPr>
                <w:rFonts w:ascii="Arial" w:cs="Arial" w:eastAsia="Arial" w:hAnsi="Arial"/>
                <w:sz w:val="11"/>
                <w:szCs w:val="11"/>
                <w:b w:val="1"/>
                <w:bCs w:val="1"/>
                <w:color w:val="FFFFFF"/>
              </w:rPr>
              <w:t>($)</w:t>
            </w:r>
          </w:p>
        </w:tc>
        <w:tc>
          <w:tcPr>
            <w:tcW w:w="880" w:type="dxa"/>
            <w:vAlign w:val="bottom"/>
            <w:shd w:val="clear" w:color="auto" w:fill="1D3060"/>
          </w:tcPr>
          <w:p>
            <w:pPr>
              <w:jc w:val="center"/>
              <w:spacing w:after="0"/>
              <w:rPr>
                <w:sz w:val="20"/>
                <w:szCs w:val="20"/>
                <w:color w:val="auto"/>
              </w:rPr>
            </w:pPr>
            <w:r>
              <w:rPr>
                <w:rFonts w:ascii="Arial" w:cs="Arial" w:eastAsia="Arial" w:hAnsi="Arial"/>
                <w:sz w:val="11"/>
                <w:szCs w:val="11"/>
                <w:b w:val="1"/>
                <w:bCs w:val="1"/>
                <w:color w:val="FFFFFF"/>
              </w:rPr>
              <w:t>($)</w:t>
            </w:r>
          </w:p>
        </w:tc>
        <w:tc>
          <w:tcPr>
            <w:tcW w:w="680" w:type="dxa"/>
            <w:vAlign w:val="bottom"/>
            <w:shd w:val="clear" w:color="auto" w:fill="1D3060"/>
          </w:tcPr>
          <w:p>
            <w:pPr>
              <w:jc w:val="right"/>
              <w:ind w:right="246"/>
              <w:spacing w:after="0"/>
              <w:rPr>
                <w:sz w:val="20"/>
                <w:szCs w:val="20"/>
                <w:color w:val="auto"/>
              </w:rPr>
            </w:pPr>
            <w:r>
              <w:rPr>
                <w:rFonts w:ascii="Arial" w:cs="Arial" w:eastAsia="Arial" w:hAnsi="Arial"/>
                <w:sz w:val="11"/>
                <w:szCs w:val="11"/>
                <w:b w:val="1"/>
                <w:bCs w:val="1"/>
                <w:color w:val="FFFFFF"/>
              </w:rPr>
              <w:t>($)</w:t>
            </w:r>
          </w:p>
        </w:tc>
        <w:tc>
          <w:tcPr>
            <w:tcW w:w="640" w:type="dxa"/>
            <w:vAlign w:val="bottom"/>
            <w:shd w:val="clear" w:color="auto" w:fill="1D3060"/>
          </w:tcPr>
          <w:p>
            <w:pPr>
              <w:jc w:val="right"/>
              <w:ind w:right="146"/>
              <w:spacing w:after="0"/>
              <w:rPr>
                <w:sz w:val="20"/>
                <w:szCs w:val="20"/>
                <w:color w:val="auto"/>
              </w:rPr>
            </w:pPr>
            <w:r>
              <w:rPr>
                <w:rFonts w:ascii="Arial" w:cs="Arial" w:eastAsia="Arial" w:hAnsi="Arial"/>
                <w:sz w:val="11"/>
                <w:szCs w:val="11"/>
                <w:b w:val="1"/>
                <w:bCs w:val="1"/>
                <w:color w:val="FFFFFF"/>
              </w:rPr>
              <w:t>(#)</w:t>
            </w:r>
          </w:p>
        </w:tc>
        <w:tc>
          <w:tcPr>
            <w:tcW w:w="820" w:type="dxa"/>
            <w:vAlign w:val="bottom"/>
            <w:shd w:val="clear" w:color="auto" w:fill="1D3060"/>
          </w:tcPr>
          <w:p>
            <w:pPr>
              <w:jc w:val="center"/>
              <w:spacing w:after="0"/>
              <w:rPr>
                <w:sz w:val="20"/>
                <w:szCs w:val="20"/>
                <w:color w:val="auto"/>
              </w:rPr>
            </w:pPr>
            <w:r>
              <w:rPr>
                <w:rFonts w:ascii="Arial" w:cs="Arial" w:eastAsia="Arial" w:hAnsi="Arial"/>
                <w:sz w:val="11"/>
                <w:szCs w:val="11"/>
                <w:b w:val="1"/>
                <w:bCs w:val="1"/>
                <w:color w:val="FFFFFF"/>
              </w:rPr>
              <w:t>(#)</w:t>
            </w:r>
          </w:p>
        </w:tc>
        <w:tc>
          <w:tcPr>
            <w:tcW w:w="180" w:type="dxa"/>
            <w:vAlign w:val="bottom"/>
            <w:shd w:val="clear" w:color="auto" w:fill="1D3060"/>
          </w:tcPr>
          <w:p>
            <w:pPr>
              <w:spacing w:after="0"/>
              <w:rPr>
                <w:sz w:val="15"/>
                <w:szCs w:val="15"/>
                <w:color w:val="auto"/>
              </w:rPr>
            </w:pPr>
          </w:p>
        </w:tc>
        <w:tc>
          <w:tcPr>
            <w:tcW w:w="380" w:type="dxa"/>
            <w:vAlign w:val="bottom"/>
            <w:shd w:val="clear" w:color="auto" w:fill="1D3060"/>
          </w:tcPr>
          <w:p>
            <w:pPr>
              <w:jc w:val="right"/>
              <w:ind w:right="186"/>
              <w:spacing w:after="0"/>
              <w:rPr>
                <w:sz w:val="20"/>
                <w:szCs w:val="20"/>
                <w:color w:val="auto"/>
              </w:rPr>
            </w:pPr>
            <w:r>
              <w:rPr>
                <w:rFonts w:ascii="Arial" w:cs="Arial" w:eastAsia="Arial" w:hAnsi="Arial"/>
                <w:sz w:val="11"/>
                <w:szCs w:val="11"/>
                <w:b w:val="1"/>
                <w:bCs w:val="1"/>
                <w:color w:val="FFFFFF"/>
                <w:w w:val="88"/>
              </w:rPr>
              <w:t>(#)</w:t>
            </w:r>
          </w:p>
        </w:tc>
        <w:tc>
          <w:tcPr>
            <w:tcW w:w="880" w:type="dxa"/>
            <w:vAlign w:val="bottom"/>
            <w:shd w:val="clear" w:color="auto" w:fill="1D3060"/>
          </w:tcPr>
          <w:p>
            <w:pPr>
              <w:jc w:val="center"/>
              <w:ind w:left="7"/>
              <w:spacing w:after="0"/>
              <w:rPr>
                <w:sz w:val="20"/>
                <w:szCs w:val="20"/>
                <w:color w:val="auto"/>
              </w:rPr>
            </w:pPr>
            <w:r>
              <w:rPr>
                <w:rFonts w:ascii="Arial" w:cs="Arial" w:eastAsia="Arial" w:hAnsi="Arial"/>
                <w:sz w:val="11"/>
                <w:szCs w:val="11"/>
                <w:b w:val="1"/>
                <w:bCs w:val="1"/>
                <w:color w:val="FFFFFF"/>
                <w:w w:val="99"/>
              </w:rPr>
              <w:t>Options (#)</w:t>
            </w:r>
          </w:p>
        </w:tc>
        <w:tc>
          <w:tcPr>
            <w:tcW w:w="680" w:type="dxa"/>
            <w:vAlign w:val="bottom"/>
            <w:shd w:val="clear" w:color="auto" w:fill="1D3060"/>
          </w:tcPr>
          <w:p>
            <w:pPr>
              <w:jc w:val="center"/>
              <w:spacing w:after="0"/>
              <w:rPr>
                <w:sz w:val="20"/>
                <w:szCs w:val="20"/>
                <w:color w:val="auto"/>
              </w:rPr>
            </w:pPr>
            <w:r>
              <w:rPr>
                <w:rFonts w:ascii="Arial" w:cs="Arial" w:eastAsia="Arial" w:hAnsi="Arial"/>
                <w:sz w:val="11"/>
                <w:szCs w:val="11"/>
                <w:b w:val="1"/>
                <w:bCs w:val="1"/>
                <w:color w:val="FFFFFF"/>
              </w:rPr>
              <w:t>(3)</w:t>
            </w:r>
          </w:p>
        </w:tc>
        <w:tc>
          <w:tcPr>
            <w:tcW w:w="680" w:type="dxa"/>
            <w:vAlign w:val="bottom"/>
            <w:shd w:val="clear" w:color="auto" w:fill="1D3060"/>
          </w:tcPr>
          <w:p>
            <w:pPr>
              <w:jc w:val="center"/>
              <w:ind w:right="7"/>
              <w:spacing w:after="0"/>
              <w:rPr>
                <w:sz w:val="20"/>
                <w:szCs w:val="20"/>
                <w:color w:val="auto"/>
              </w:rPr>
            </w:pPr>
            <w:r>
              <w:rPr>
                <w:rFonts w:ascii="Arial" w:cs="Arial" w:eastAsia="Arial" w:hAnsi="Arial"/>
                <w:sz w:val="11"/>
                <w:szCs w:val="11"/>
                <w:b w:val="1"/>
                <w:bCs w:val="1"/>
                <w:color w:val="FFFFFF"/>
                <w:w w:val="96"/>
              </w:rPr>
              <w:t>($)(4)</w:t>
            </w:r>
          </w:p>
        </w:tc>
        <w:tc>
          <w:tcPr>
            <w:tcW w:w="0" w:type="dxa"/>
            <w:vAlign w:val="bottom"/>
          </w:tcPr>
          <w:p>
            <w:pPr>
              <w:spacing w:after="0"/>
              <w:rPr>
                <w:sz w:val="1"/>
                <w:szCs w:val="1"/>
                <w:color w:val="auto"/>
              </w:rPr>
            </w:pPr>
          </w:p>
        </w:tc>
      </w:tr>
      <w:tr>
        <w:trPr>
          <w:trHeight w:val="162"/>
        </w:trPr>
        <w:tc>
          <w:tcPr>
            <w:tcW w:w="3600" w:type="dxa"/>
            <w:vAlign w:val="bottom"/>
            <w:shd w:val="clear" w:color="auto" w:fill="D7E8F5"/>
          </w:tcPr>
          <w:p>
            <w:pPr>
              <w:spacing w:after="0"/>
              <w:rPr>
                <w:sz w:val="20"/>
                <w:szCs w:val="20"/>
                <w:color w:val="auto"/>
              </w:rPr>
            </w:pPr>
            <w:r>
              <w:rPr>
                <w:rFonts w:ascii="Arial" w:cs="Arial" w:eastAsia="Arial" w:hAnsi="Arial"/>
                <w:sz w:val="11"/>
                <w:szCs w:val="11"/>
                <w:color w:val="auto"/>
              </w:rPr>
              <w:t>  Yvonne L. Greenstreet, MBChB, MBA</w:t>
            </w:r>
          </w:p>
        </w:tc>
        <w:tc>
          <w:tcPr>
            <w:tcW w:w="860" w:type="dxa"/>
            <w:vAlign w:val="bottom"/>
            <w:shd w:val="clear" w:color="auto" w:fill="D7E8F5"/>
          </w:tcPr>
          <w:p>
            <w:pPr>
              <w:jc w:val="right"/>
              <w:ind w:right="106"/>
              <w:spacing w:after="0"/>
              <w:rPr>
                <w:sz w:val="20"/>
                <w:szCs w:val="20"/>
                <w:color w:val="auto"/>
              </w:rPr>
            </w:pPr>
            <w:r>
              <w:rPr>
                <w:rFonts w:ascii="Arial" w:cs="Arial" w:eastAsia="Arial" w:hAnsi="Arial"/>
                <w:sz w:val="11"/>
                <w:szCs w:val="11"/>
                <w:color w:val="auto"/>
              </w:rPr>
              <w:t>—</w:t>
            </w:r>
          </w:p>
        </w:tc>
        <w:tc>
          <w:tcPr>
            <w:tcW w:w="740" w:type="dxa"/>
            <w:vAlign w:val="bottom"/>
            <w:shd w:val="clear" w:color="auto" w:fill="D7E8F5"/>
          </w:tcPr>
          <w:p>
            <w:pPr>
              <w:jc w:val="right"/>
              <w:spacing w:after="0"/>
              <w:rPr>
                <w:sz w:val="20"/>
                <w:szCs w:val="20"/>
                <w:color w:val="auto"/>
              </w:rPr>
            </w:pPr>
            <w:r>
              <w:rPr>
                <w:rFonts w:ascii="Arial" w:cs="Arial" w:eastAsia="Arial" w:hAnsi="Arial"/>
                <w:sz w:val="11"/>
                <w:szCs w:val="11"/>
                <w:color w:val="auto"/>
              </w:rPr>
              <w:t>550,000</w:t>
            </w:r>
          </w:p>
        </w:tc>
        <w:tc>
          <w:tcPr>
            <w:tcW w:w="880" w:type="dxa"/>
            <w:vAlign w:val="bottom"/>
            <w:shd w:val="clear" w:color="auto" w:fill="D7E8F5"/>
          </w:tcPr>
          <w:p>
            <w:pPr>
              <w:jc w:val="right"/>
              <w:ind w:right="126"/>
              <w:spacing w:after="0"/>
              <w:rPr>
                <w:sz w:val="20"/>
                <w:szCs w:val="20"/>
                <w:color w:val="auto"/>
              </w:rPr>
            </w:pPr>
            <w:r>
              <w:rPr>
                <w:rFonts w:ascii="Arial" w:cs="Arial" w:eastAsia="Arial" w:hAnsi="Arial"/>
                <w:sz w:val="11"/>
                <w:szCs w:val="11"/>
                <w:color w:val="auto"/>
              </w:rPr>
              <w:t>1,100,000</w:t>
            </w:r>
          </w:p>
        </w:tc>
        <w:tc>
          <w:tcPr>
            <w:tcW w:w="680" w:type="dxa"/>
            <w:vAlign w:val="bottom"/>
            <w:shd w:val="clear" w:color="auto" w:fill="D7E8F5"/>
          </w:tcPr>
          <w:p>
            <w:pPr>
              <w:jc w:val="right"/>
              <w:ind w:right="46"/>
              <w:spacing w:after="0"/>
              <w:rPr>
                <w:sz w:val="20"/>
                <w:szCs w:val="20"/>
                <w:color w:val="auto"/>
              </w:rPr>
            </w:pPr>
            <w:r>
              <w:rPr>
                <w:rFonts w:ascii="Arial" w:cs="Arial" w:eastAsia="Arial" w:hAnsi="Arial"/>
                <w:sz w:val="11"/>
                <w:szCs w:val="11"/>
                <w:color w:val="auto"/>
              </w:rPr>
              <w:t>1,650,000</w:t>
            </w:r>
          </w:p>
        </w:tc>
        <w:tc>
          <w:tcPr>
            <w:tcW w:w="640" w:type="dxa"/>
            <w:vAlign w:val="bottom"/>
            <w:shd w:val="clear" w:color="auto" w:fill="D7E8F5"/>
          </w:tcPr>
          <w:p>
            <w:pPr>
              <w:spacing w:after="0"/>
              <w:rPr>
                <w:sz w:val="14"/>
                <w:szCs w:val="14"/>
                <w:color w:val="auto"/>
              </w:rPr>
            </w:pPr>
          </w:p>
        </w:tc>
        <w:tc>
          <w:tcPr>
            <w:tcW w:w="820" w:type="dxa"/>
            <w:vAlign w:val="bottom"/>
            <w:shd w:val="clear" w:color="auto" w:fill="D7E8F5"/>
          </w:tcPr>
          <w:p>
            <w:pPr>
              <w:spacing w:after="0"/>
              <w:rPr>
                <w:sz w:val="14"/>
                <w:szCs w:val="14"/>
                <w:color w:val="auto"/>
              </w:rPr>
            </w:pPr>
          </w:p>
        </w:tc>
        <w:tc>
          <w:tcPr>
            <w:tcW w:w="180" w:type="dxa"/>
            <w:vAlign w:val="bottom"/>
            <w:shd w:val="clear" w:color="auto" w:fill="D7E8F5"/>
          </w:tcPr>
          <w:p>
            <w:pPr>
              <w:spacing w:after="0"/>
              <w:rPr>
                <w:sz w:val="14"/>
                <w:szCs w:val="14"/>
                <w:color w:val="auto"/>
              </w:rPr>
            </w:pPr>
          </w:p>
        </w:tc>
        <w:tc>
          <w:tcPr>
            <w:tcW w:w="380" w:type="dxa"/>
            <w:vAlign w:val="bottom"/>
            <w:shd w:val="clear" w:color="auto" w:fill="D7E8F5"/>
          </w:tcPr>
          <w:p>
            <w:pPr>
              <w:spacing w:after="0"/>
              <w:rPr>
                <w:sz w:val="14"/>
                <w:szCs w:val="14"/>
                <w:color w:val="auto"/>
              </w:rPr>
            </w:pPr>
          </w:p>
        </w:tc>
        <w:tc>
          <w:tcPr>
            <w:tcW w:w="880" w:type="dxa"/>
            <w:vAlign w:val="bottom"/>
            <w:shd w:val="clear" w:color="auto" w:fill="D7E8F5"/>
          </w:tcPr>
          <w:p>
            <w:pPr>
              <w:spacing w:after="0"/>
              <w:rPr>
                <w:sz w:val="14"/>
                <w:szCs w:val="14"/>
                <w:color w:val="auto"/>
              </w:rPr>
            </w:pPr>
          </w:p>
        </w:tc>
        <w:tc>
          <w:tcPr>
            <w:tcW w:w="680" w:type="dxa"/>
            <w:vAlign w:val="bottom"/>
            <w:shd w:val="clear" w:color="auto" w:fill="D7E8F5"/>
          </w:tcPr>
          <w:p>
            <w:pPr>
              <w:spacing w:after="0"/>
              <w:rPr>
                <w:sz w:val="14"/>
                <w:szCs w:val="14"/>
                <w:color w:val="auto"/>
              </w:rPr>
            </w:pPr>
          </w:p>
        </w:tc>
        <w:tc>
          <w:tcPr>
            <w:tcW w:w="680" w:type="dxa"/>
            <w:vAlign w:val="bottom"/>
            <w:shd w:val="clear" w:color="auto" w:fill="D7E8F5"/>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shd w:val="clear" w:color="auto" w:fill="D7E8F5"/>
          </w:tcPr>
          <w:p>
            <w:pPr>
              <w:spacing w:after="0"/>
              <w:rPr>
                <w:sz w:val="10"/>
                <w:szCs w:val="10"/>
                <w:color w:val="auto"/>
              </w:rPr>
            </w:pPr>
          </w:p>
        </w:tc>
        <w:tc>
          <w:tcPr>
            <w:tcW w:w="860" w:type="dxa"/>
            <w:vAlign w:val="bottom"/>
            <w:shd w:val="clear" w:color="auto" w:fill="D7E8F5"/>
          </w:tcPr>
          <w:p>
            <w:pPr>
              <w:jc w:val="right"/>
              <w:spacing w:after="0" w:line="122" w:lineRule="exact"/>
              <w:rPr>
                <w:sz w:val="20"/>
                <w:szCs w:val="20"/>
                <w:color w:val="auto"/>
              </w:rPr>
            </w:pPr>
            <w:r>
              <w:rPr>
                <w:rFonts w:ascii="Arial" w:cs="Arial" w:eastAsia="Arial" w:hAnsi="Arial"/>
                <w:sz w:val="11"/>
                <w:szCs w:val="11"/>
                <w:color w:val="auto"/>
              </w:rPr>
              <w:t>2/27/2023(5)</w:t>
            </w:r>
          </w:p>
        </w:tc>
        <w:tc>
          <w:tcPr>
            <w:tcW w:w="740" w:type="dxa"/>
            <w:vAlign w:val="bottom"/>
            <w:shd w:val="clear" w:color="auto" w:fill="D7E8F5"/>
          </w:tcPr>
          <w:p>
            <w:pPr>
              <w:spacing w:after="0"/>
              <w:rPr>
                <w:sz w:val="10"/>
                <w:szCs w:val="10"/>
                <w:color w:val="auto"/>
              </w:rPr>
            </w:pPr>
          </w:p>
        </w:tc>
        <w:tc>
          <w:tcPr>
            <w:tcW w:w="880" w:type="dxa"/>
            <w:vAlign w:val="bottom"/>
            <w:shd w:val="clear" w:color="auto" w:fill="D7E8F5"/>
          </w:tcPr>
          <w:p>
            <w:pPr>
              <w:spacing w:after="0"/>
              <w:rPr>
                <w:sz w:val="10"/>
                <w:szCs w:val="10"/>
                <w:color w:val="auto"/>
              </w:rPr>
            </w:pPr>
          </w:p>
        </w:tc>
        <w:tc>
          <w:tcPr>
            <w:tcW w:w="680" w:type="dxa"/>
            <w:vAlign w:val="bottom"/>
            <w:shd w:val="clear" w:color="auto" w:fill="D7E8F5"/>
          </w:tcPr>
          <w:p>
            <w:pPr>
              <w:spacing w:after="0"/>
              <w:rPr>
                <w:sz w:val="10"/>
                <w:szCs w:val="10"/>
                <w:color w:val="auto"/>
              </w:rPr>
            </w:pPr>
          </w:p>
        </w:tc>
        <w:tc>
          <w:tcPr>
            <w:tcW w:w="640" w:type="dxa"/>
            <w:vAlign w:val="bottom"/>
            <w:shd w:val="clear" w:color="auto" w:fill="D7E8F5"/>
          </w:tcPr>
          <w:p>
            <w:pPr>
              <w:spacing w:after="0"/>
              <w:rPr>
                <w:sz w:val="10"/>
                <w:szCs w:val="10"/>
                <w:color w:val="auto"/>
              </w:rPr>
            </w:pPr>
          </w:p>
        </w:tc>
        <w:tc>
          <w:tcPr>
            <w:tcW w:w="820" w:type="dxa"/>
            <w:vAlign w:val="bottom"/>
            <w:shd w:val="clear" w:color="auto" w:fill="D7E8F5"/>
          </w:tcPr>
          <w:p>
            <w:pPr>
              <w:spacing w:after="0"/>
              <w:rPr>
                <w:sz w:val="10"/>
                <w:szCs w:val="10"/>
                <w:color w:val="auto"/>
              </w:rPr>
            </w:pPr>
          </w:p>
        </w:tc>
        <w:tc>
          <w:tcPr>
            <w:tcW w:w="180" w:type="dxa"/>
            <w:vAlign w:val="bottom"/>
            <w:shd w:val="clear" w:color="auto" w:fill="D7E8F5"/>
          </w:tcPr>
          <w:p>
            <w:pPr>
              <w:spacing w:after="0"/>
              <w:rPr>
                <w:sz w:val="10"/>
                <w:szCs w:val="10"/>
                <w:color w:val="auto"/>
              </w:rPr>
            </w:pPr>
          </w:p>
        </w:tc>
        <w:tc>
          <w:tcPr>
            <w:tcW w:w="380" w:type="dxa"/>
            <w:vAlign w:val="bottom"/>
            <w:shd w:val="clear" w:color="auto" w:fill="D7E8F5"/>
          </w:tcPr>
          <w:p>
            <w:pPr>
              <w:spacing w:after="0"/>
              <w:rPr>
                <w:sz w:val="10"/>
                <w:szCs w:val="10"/>
                <w:color w:val="auto"/>
              </w:rPr>
            </w:pPr>
          </w:p>
        </w:tc>
        <w:tc>
          <w:tcPr>
            <w:tcW w:w="880" w:type="dxa"/>
            <w:vAlign w:val="bottom"/>
            <w:shd w:val="clear" w:color="auto" w:fill="D7E8F5"/>
          </w:tcPr>
          <w:p>
            <w:pPr>
              <w:jc w:val="right"/>
              <w:ind w:right="67"/>
              <w:spacing w:after="0" w:line="122" w:lineRule="exact"/>
              <w:rPr>
                <w:sz w:val="20"/>
                <w:szCs w:val="20"/>
                <w:color w:val="auto"/>
              </w:rPr>
            </w:pPr>
            <w:r>
              <w:rPr>
                <w:rFonts w:ascii="Arial" w:cs="Arial" w:eastAsia="Arial" w:hAnsi="Arial"/>
                <w:sz w:val="11"/>
                <w:szCs w:val="11"/>
                <w:color w:val="auto"/>
              </w:rPr>
              <w:t>36,775</w:t>
            </w:r>
          </w:p>
        </w:tc>
        <w:tc>
          <w:tcPr>
            <w:tcW w:w="680" w:type="dxa"/>
            <w:vAlign w:val="bottom"/>
            <w:shd w:val="clear" w:color="auto" w:fill="D7E8F5"/>
          </w:tcPr>
          <w:p>
            <w:pPr>
              <w:jc w:val="right"/>
              <w:ind w:right="48"/>
              <w:spacing w:after="0" w:line="122" w:lineRule="exact"/>
              <w:rPr>
                <w:sz w:val="20"/>
                <w:szCs w:val="20"/>
                <w:color w:val="auto"/>
              </w:rPr>
            </w:pPr>
            <w:r>
              <w:rPr>
                <w:rFonts w:ascii="Arial" w:cs="Arial" w:eastAsia="Arial" w:hAnsi="Arial"/>
                <w:sz w:val="11"/>
                <w:szCs w:val="11"/>
                <w:color w:val="auto"/>
              </w:rPr>
              <w:t>190.01</w:t>
            </w:r>
          </w:p>
        </w:tc>
        <w:tc>
          <w:tcPr>
            <w:tcW w:w="680" w:type="dxa"/>
            <w:vAlign w:val="bottom"/>
            <w:shd w:val="clear" w:color="auto" w:fill="D7E8F5"/>
          </w:tcPr>
          <w:p>
            <w:pPr>
              <w:jc w:val="right"/>
              <w:ind w:right="47"/>
              <w:spacing w:after="0" w:line="122" w:lineRule="exact"/>
              <w:rPr>
                <w:sz w:val="20"/>
                <w:szCs w:val="20"/>
                <w:color w:val="auto"/>
              </w:rPr>
            </w:pPr>
            <w:r>
              <w:rPr>
                <w:rFonts w:ascii="Arial" w:cs="Arial" w:eastAsia="Arial" w:hAnsi="Arial"/>
                <w:sz w:val="11"/>
                <w:szCs w:val="11"/>
                <w:color w:val="auto"/>
              </w:rPr>
              <w:t>3,369,000</w:t>
            </w:r>
          </w:p>
        </w:tc>
        <w:tc>
          <w:tcPr>
            <w:tcW w:w="0" w:type="dxa"/>
            <w:vAlign w:val="bottom"/>
          </w:tcPr>
          <w:p>
            <w:pPr>
              <w:spacing w:after="0"/>
              <w:rPr>
                <w:sz w:val="1"/>
                <w:szCs w:val="1"/>
                <w:color w:val="auto"/>
              </w:rPr>
            </w:pPr>
          </w:p>
        </w:tc>
      </w:tr>
      <w:tr>
        <w:trPr>
          <w:trHeight w:val="122"/>
        </w:trPr>
        <w:tc>
          <w:tcPr>
            <w:tcW w:w="3600" w:type="dxa"/>
            <w:vAlign w:val="bottom"/>
            <w:shd w:val="clear" w:color="auto" w:fill="D7E8F5"/>
          </w:tcPr>
          <w:p>
            <w:pPr>
              <w:spacing w:after="0"/>
              <w:rPr>
                <w:sz w:val="10"/>
                <w:szCs w:val="10"/>
                <w:color w:val="auto"/>
              </w:rPr>
            </w:pPr>
          </w:p>
        </w:tc>
        <w:tc>
          <w:tcPr>
            <w:tcW w:w="860" w:type="dxa"/>
            <w:vAlign w:val="bottom"/>
            <w:shd w:val="clear" w:color="auto" w:fill="D7E8F5"/>
          </w:tcPr>
          <w:p>
            <w:pPr>
              <w:jc w:val="right"/>
              <w:ind w:right="106"/>
              <w:spacing w:after="0" w:line="122" w:lineRule="exact"/>
              <w:rPr>
                <w:sz w:val="20"/>
                <w:szCs w:val="20"/>
                <w:color w:val="auto"/>
              </w:rPr>
            </w:pPr>
            <w:r>
              <w:rPr>
                <w:rFonts w:ascii="Arial" w:cs="Arial" w:eastAsia="Arial" w:hAnsi="Arial"/>
                <w:sz w:val="11"/>
                <w:szCs w:val="11"/>
                <w:color w:val="auto"/>
              </w:rPr>
              <w:t>2/27/2023(6)</w:t>
            </w:r>
          </w:p>
        </w:tc>
        <w:tc>
          <w:tcPr>
            <w:tcW w:w="740" w:type="dxa"/>
            <w:vAlign w:val="bottom"/>
            <w:shd w:val="clear" w:color="auto" w:fill="D7E8F5"/>
          </w:tcPr>
          <w:p>
            <w:pPr>
              <w:spacing w:after="0"/>
              <w:rPr>
                <w:sz w:val="10"/>
                <w:szCs w:val="10"/>
                <w:color w:val="auto"/>
              </w:rPr>
            </w:pPr>
          </w:p>
        </w:tc>
        <w:tc>
          <w:tcPr>
            <w:tcW w:w="880" w:type="dxa"/>
            <w:vAlign w:val="bottom"/>
            <w:shd w:val="clear" w:color="auto" w:fill="D7E8F5"/>
          </w:tcPr>
          <w:p>
            <w:pPr>
              <w:spacing w:after="0"/>
              <w:rPr>
                <w:sz w:val="10"/>
                <w:szCs w:val="10"/>
                <w:color w:val="auto"/>
              </w:rPr>
            </w:pPr>
          </w:p>
        </w:tc>
        <w:tc>
          <w:tcPr>
            <w:tcW w:w="680" w:type="dxa"/>
            <w:vAlign w:val="bottom"/>
            <w:shd w:val="clear" w:color="auto" w:fill="D7E8F5"/>
          </w:tcPr>
          <w:p>
            <w:pPr>
              <w:spacing w:after="0"/>
              <w:rPr>
                <w:sz w:val="10"/>
                <w:szCs w:val="10"/>
                <w:color w:val="auto"/>
              </w:rPr>
            </w:pPr>
          </w:p>
        </w:tc>
        <w:tc>
          <w:tcPr>
            <w:tcW w:w="640" w:type="dxa"/>
            <w:vAlign w:val="bottom"/>
            <w:shd w:val="clear" w:color="auto" w:fill="D7E8F5"/>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D7E8F5"/>
          </w:tcPr>
          <w:p>
            <w:pPr>
              <w:jc w:val="right"/>
              <w:ind w:right="166"/>
              <w:spacing w:after="0" w:line="122" w:lineRule="exact"/>
              <w:rPr>
                <w:sz w:val="20"/>
                <w:szCs w:val="20"/>
                <w:color w:val="auto"/>
              </w:rPr>
            </w:pPr>
            <w:r>
              <w:rPr>
                <w:rFonts w:ascii="Arial" w:cs="Arial" w:eastAsia="Arial" w:hAnsi="Arial"/>
                <w:sz w:val="11"/>
                <w:szCs w:val="11"/>
                <w:color w:val="auto"/>
              </w:rPr>
              <w:t>35,525</w:t>
            </w:r>
          </w:p>
        </w:tc>
        <w:tc>
          <w:tcPr>
            <w:tcW w:w="180" w:type="dxa"/>
            <w:vAlign w:val="bottom"/>
            <w:shd w:val="clear" w:color="auto" w:fill="D7E8F5"/>
          </w:tcPr>
          <w:p>
            <w:pPr>
              <w:spacing w:after="0"/>
              <w:rPr>
                <w:sz w:val="10"/>
                <w:szCs w:val="10"/>
                <w:color w:val="auto"/>
              </w:rPr>
            </w:pPr>
          </w:p>
        </w:tc>
        <w:tc>
          <w:tcPr>
            <w:tcW w:w="380" w:type="dxa"/>
            <w:vAlign w:val="bottom"/>
            <w:shd w:val="clear" w:color="auto" w:fill="D7E8F5"/>
          </w:tcPr>
          <w:p>
            <w:pPr>
              <w:jc w:val="right"/>
              <w:spacing w:after="0" w:line="122" w:lineRule="exact"/>
              <w:rPr>
                <w:sz w:val="20"/>
                <w:szCs w:val="20"/>
                <w:color w:val="auto"/>
              </w:rPr>
            </w:pPr>
            <w:r>
              <w:rPr>
                <w:rFonts w:ascii="Arial" w:cs="Arial" w:eastAsia="Arial" w:hAnsi="Arial"/>
                <w:sz w:val="11"/>
                <w:szCs w:val="11"/>
                <w:color w:val="auto"/>
                <w:w w:val="94"/>
              </w:rPr>
              <w:t>35,525</w:t>
            </w:r>
          </w:p>
        </w:tc>
        <w:tc>
          <w:tcPr>
            <w:tcW w:w="880" w:type="dxa"/>
            <w:vAlign w:val="bottom"/>
            <w:shd w:val="clear" w:color="auto" w:fill="D7E8F5"/>
          </w:tcPr>
          <w:p>
            <w:pPr>
              <w:spacing w:after="0"/>
              <w:rPr>
                <w:sz w:val="10"/>
                <w:szCs w:val="10"/>
                <w:color w:val="auto"/>
              </w:rPr>
            </w:pPr>
          </w:p>
        </w:tc>
        <w:tc>
          <w:tcPr>
            <w:tcW w:w="680" w:type="dxa"/>
            <w:vAlign w:val="bottom"/>
            <w:shd w:val="clear" w:color="auto" w:fill="D7E8F5"/>
          </w:tcPr>
          <w:p>
            <w:pPr>
              <w:spacing w:after="0"/>
              <w:rPr>
                <w:sz w:val="10"/>
                <w:szCs w:val="10"/>
                <w:color w:val="auto"/>
              </w:rPr>
            </w:pPr>
          </w:p>
        </w:tc>
        <w:tc>
          <w:tcPr>
            <w:tcW w:w="680" w:type="dxa"/>
            <w:vAlign w:val="bottom"/>
            <w:shd w:val="clear" w:color="auto" w:fill="D7E8F5"/>
          </w:tcPr>
          <w:p>
            <w:pPr>
              <w:jc w:val="right"/>
              <w:ind w:right="47"/>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D7E8F5"/>
            </w:tcBorders>
            <w:shd w:val="clear" w:color="auto" w:fill="D7E8F5"/>
          </w:tcPr>
          <w:p>
            <w:pPr>
              <w:spacing w:after="0"/>
              <w:rPr>
                <w:sz w:val="12"/>
                <w:szCs w:val="12"/>
                <w:color w:val="auto"/>
              </w:rPr>
            </w:pPr>
          </w:p>
        </w:tc>
        <w:tc>
          <w:tcPr>
            <w:tcW w:w="860" w:type="dxa"/>
            <w:vAlign w:val="bottom"/>
            <w:tcBorders>
              <w:bottom w:val="single" w:sz="8" w:color="D7E8F5"/>
            </w:tcBorders>
            <w:shd w:val="clear" w:color="auto" w:fill="D7E8F5"/>
          </w:tcPr>
          <w:p>
            <w:pPr>
              <w:jc w:val="right"/>
              <w:ind w:right="106"/>
              <w:spacing w:after="0"/>
              <w:rPr>
                <w:sz w:val="20"/>
                <w:szCs w:val="20"/>
                <w:color w:val="auto"/>
              </w:rPr>
            </w:pPr>
            <w:r>
              <w:rPr>
                <w:rFonts w:ascii="Arial" w:cs="Arial" w:eastAsia="Arial" w:hAnsi="Arial"/>
                <w:sz w:val="11"/>
                <w:szCs w:val="11"/>
                <w:color w:val="auto"/>
              </w:rPr>
              <w:t>2/27/2023(7)</w:t>
            </w:r>
          </w:p>
        </w:tc>
        <w:tc>
          <w:tcPr>
            <w:tcW w:w="740" w:type="dxa"/>
            <w:vAlign w:val="bottom"/>
            <w:tcBorders>
              <w:bottom w:val="single" w:sz="8" w:color="D7E8F5"/>
            </w:tcBorders>
            <w:shd w:val="clear" w:color="auto" w:fill="D7E8F5"/>
          </w:tcPr>
          <w:p>
            <w:pPr>
              <w:spacing w:after="0"/>
              <w:rPr>
                <w:sz w:val="12"/>
                <w:szCs w:val="12"/>
                <w:color w:val="auto"/>
              </w:rPr>
            </w:pPr>
          </w:p>
        </w:tc>
        <w:tc>
          <w:tcPr>
            <w:tcW w:w="880" w:type="dxa"/>
            <w:vAlign w:val="bottom"/>
            <w:tcBorders>
              <w:bottom w:val="single" w:sz="8" w:color="D7E8F5"/>
            </w:tcBorders>
            <w:shd w:val="clear" w:color="auto" w:fill="D7E8F5"/>
          </w:tcPr>
          <w:p>
            <w:pPr>
              <w:spacing w:after="0"/>
              <w:rPr>
                <w:sz w:val="12"/>
                <w:szCs w:val="12"/>
                <w:color w:val="auto"/>
              </w:rPr>
            </w:pPr>
          </w:p>
        </w:tc>
        <w:tc>
          <w:tcPr>
            <w:tcW w:w="680" w:type="dxa"/>
            <w:vAlign w:val="bottom"/>
            <w:tcBorders>
              <w:bottom w:val="single" w:sz="8" w:color="D7E8F5"/>
            </w:tcBorders>
            <w:shd w:val="clear" w:color="auto" w:fill="D7E8F5"/>
          </w:tcPr>
          <w:p>
            <w:pPr>
              <w:spacing w:after="0"/>
              <w:rPr>
                <w:sz w:val="12"/>
                <w:szCs w:val="12"/>
                <w:color w:val="auto"/>
              </w:rPr>
            </w:pPr>
          </w:p>
        </w:tc>
        <w:tc>
          <w:tcPr>
            <w:tcW w:w="640" w:type="dxa"/>
            <w:vAlign w:val="bottom"/>
            <w:tcBorders>
              <w:bottom w:val="single" w:sz="8" w:color="D7E8F5"/>
            </w:tcBorders>
            <w:shd w:val="clear" w:color="auto" w:fill="D7E8F5"/>
          </w:tcPr>
          <w:p>
            <w:pPr>
              <w:spacing w:after="0"/>
              <w:rPr>
                <w:sz w:val="12"/>
                <w:szCs w:val="12"/>
                <w:color w:val="auto"/>
              </w:rPr>
            </w:pPr>
          </w:p>
        </w:tc>
        <w:tc>
          <w:tcPr>
            <w:tcW w:w="820" w:type="dxa"/>
            <w:vAlign w:val="bottom"/>
            <w:tcBorders>
              <w:bottom w:val="single" w:sz="8" w:color="D7E8F5"/>
            </w:tcBorders>
            <w:shd w:val="clear" w:color="auto" w:fill="D7E8F5"/>
          </w:tcPr>
          <w:p>
            <w:pPr>
              <w:spacing w:after="0"/>
              <w:rPr>
                <w:sz w:val="12"/>
                <w:szCs w:val="12"/>
                <w:color w:val="auto"/>
              </w:rPr>
            </w:pPr>
          </w:p>
        </w:tc>
        <w:tc>
          <w:tcPr>
            <w:tcW w:w="180" w:type="dxa"/>
            <w:vAlign w:val="bottom"/>
            <w:tcBorders>
              <w:bottom w:val="single" w:sz="8" w:color="D7E8F5"/>
            </w:tcBorders>
            <w:shd w:val="clear" w:color="auto" w:fill="D7E8F5"/>
          </w:tcPr>
          <w:p>
            <w:pPr>
              <w:spacing w:after="0"/>
              <w:rPr>
                <w:sz w:val="12"/>
                <w:szCs w:val="12"/>
                <w:color w:val="auto"/>
              </w:rPr>
            </w:pPr>
          </w:p>
        </w:tc>
        <w:tc>
          <w:tcPr>
            <w:tcW w:w="380" w:type="dxa"/>
            <w:vAlign w:val="bottom"/>
            <w:tcBorders>
              <w:bottom w:val="single" w:sz="8" w:color="D7E8F5"/>
            </w:tcBorders>
            <w:shd w:val="clear" w:color="auto" w:fill="D7E8F5"/>
          </w:tcPr>
          <w:p>
            <w:pPr>
              <w:spacing w:after="0"/>
              <w:rPr>
                <w:sz w:val="12"/>
                <w:szCs w:val="12"/>
                <w:color w:val="auto"/>
              </w:rPr>
            </w:pPr>
          </w:p>
        </w:tc>
        <w:tc>
          <w:tcPr>
            <w:tcW w:w="880" w:type="dxa"/>
            <w:vAlign w:val="bottom"/>
            <w:tcBorders>
              <w:bottom w:val="single" w:sz="8" w:color="D7E8F5"/>
            </w:tcBorders>
            <w:shd w:val="clear" w:color="auto" w:fill="D7E8F5"/>
          </w:tcPr>
          <w:p>
            <w:pPr>
              <w:jc w:val="right"/>
              <w:ind w:right="67"/>
              <w:spacing w:after="0"/>
              <w:rPr>
                <w:sz w:val="20"/>
                <w:szCs w:val="20"/>
                <w:color w:val="auto"/>
              </w:rPr>
            </w:pPr>
            <w:r>
              <w:rPr>
                <w:rFonts w:ascii="Arial" w:cs="Arial" w:eastAsia="Arial" w:hAnsi="Arial"/>
                <w:sz w:val="11"/>
                <w:szCs w:val="11"/>
                <w:color w:val="auto"/>
              </w:rPr>
              <w:t>17,763</w:t>
            </w:r>
          </w:p>
        </w:tc>
        <w:tc>
          <w:tcPr>
            <w:tcW w:w="680" w:type="dxa"/>
            <w:vAlign w:val="bottom"/>
            <w:tcBorders>
              <w:bottom w:val="single" w:sz="8" w:color="D7E8F5"/>
            </w:tcBorders>
            <w:shd w:val="clear" w:color="auto" w:fill="D7E8F5"/>
          </w:tcPr>
          <w:p>
            <w:pPr>
              <w:spacing w:after="0"/>
              <w:rPr>
                <w:sz w:val="12"/>
                <w:szCs w:val="12"/>
                <w:color w:val="auto"/>
              </w:rPr>
            </w:pPr>
          </w:p>
        </w:tc>
        <w:tc>
          <w:tcPr>
            <w:tcW w:w="680" w:type="dxa"/>
            <w:vAlign w:val="bottom"/>
            <w:tcBorders>
              <w:bottom w:val="single" w:sz="8" w:color="D7E8F5"/>
            </w:tcBorders>
            <w:shd w:val="clear" w:color="auto" w:fill="D7E8F5"/>
          </w:tcPr>
          <w:p>
            <w:pPr>
              <w:jc w:val="right"/>
              <w:ind w:right="47"/>
              <w:spacing w:after="0"/>
              <w:rPr>
                <w:sz w:val="20"/>
                <w:szCs w:val="20"/>
                <w:color w:val="auto"/>
              </w:rPr>
            </w:pPr>
            <w:r>
              <w:rPr>
                <w:rFonts w:ascii="Arial" w:cs="Arial" w:eastAsia="Arial" w:hAnsi="Arial"/>
                <w:sz w:val="11"/>
                <w:szCs w:val="11"/>
                <w:color w:val="auto"/>
              </w:rPr>
              <w:t>3,375,150</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1"/>
                <w:szCs w:val="11"/>
                <w:color w:val="auto"/>
              </w:rPr>
              <w:t>  Jeffrey V. Poulton</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181,500</w:t>
            </w:r>
          </w:p>
        </w:tc>
        <w:tc>
          <w:tcPr>
            <w:tcW w:w="880" w:type="dxa"/>
            <w:vAlign w:val="bottom"/>
          </w:tcPr>
          <w:p>
            <w:pPr>
              <w:jc w:val="right"/>
              <w:ind w:right="126"/>
              <w:spacing w:after="0"/>
              <w:rPr>
                <w:sz w:val="20"/>
                <w:szCs w:val="20"/>
                <w:color w:val="auto"/>
              </w:rPr>
            </w:pPr>
            <w:r>
              <w:rPr>
                <w:rFonts w:ascii="Arial" w:cs="Arial" w:eastAsia="Arial" w:hAnsi="Arial"/>
                <w:sz w:val="11"/>
                <w:szCs w:val="11"/>
                <w:color w:val="auto"/>
              </w:rPr>
              <w:t>363,000</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544,500</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2/27/2023(5)</w:t>
            </w: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ind w:right="67"/>
              <w:spacing w:after="0" w:line="122" w:lineRule="exact"/>
              <w:rPr>
                <w:sz w:val="20"/>
                <w:szCs w:val="20"/>
                <w:color w:val="auto"/>
              </w:rPr>
            </w:pPr>
            <w:r>
              <w:rPr>
                <w:rFonts w:ascii="Arial" w:cs="Arial" w:eastAsia="Arial" w:hAnsi="Arial"/>
                <w:sz w:val="11"/>
                <w:szCs w:val="11"/>
                <w:color w:val="auto"/>
              </w:rPr>
              <w:t>11,850</w:t>
            </w:r>
          </w:p>
        </w:tc>
        <w:tc>
          <w:tcPr>
            <w:tcW w:w="680" w:type="dxa"/>
            <w:vAlign w:val="bottom"/>
          </w:tcPr>
          <w:p>
            <w:pPr>
              <w:jc w:val="right"/>
              <w:ind w:right="48"/>
              <w:spacing w:after="0" w:line="122" w:lineRule="exact"/>
              <w:rPr>
                <w:sz w:val="20"/>
                <w:szCs w:val="20"/>
                <w:color w:val="auto"/>
              </w:rPr>
            </w:pPr>
            <w:r>
              <w:rPr>
                <w:rFonts w:ascii="Arial" w:cs="Arial" w:eastAsia="Arial" w:hAnsi="Arial"/>
                <w:sz w:val="11"/>
                <w:szCs w:val="11"/>
                <w:color w:val="auto"/>
              </w:rPr>
              <w:t>190.01</w:t>
            </w:r>
          </w:p>
        </w:tc>
        <w:tc>
          <w:tcPr>
            <w:tcW w:w="680" w:type="dxa"/>
            <w:vAlign w:val="bottom"/>
          </w:tcPr>
          <w:p>
            <w:pPr>
              <w:jc w:val="right"/>
              <w:ind w:right="47"/>
              <w:spacing w:after="0" w:line="122" w:lineRule="exact"/>
              <w:rPr>
                <w:sz w:val="20"/>
                <w:szCs w:val="20"/>
                <w:color w:val="auto"/>
              </w:rPr>
            </w:pPr>
            <w:r>
              <w:rPr>
                <w:rFonts w:ascii="Arial" w:cs="Arial" w:eastAsia="Arial" w:hAnsi="Arial"/>
                <w:sz w:val="11"/>
                <w:szCs w:val="11"/>
                <w:color w:val="auto"/>
              </w:rPr>
              <w:t>1,085,590</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2/27/2023(6)</w:t>
            </w: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11,447</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w w:val="94"/>
              </w:rPr>
              <w:t>11,447</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right"/>
              <w:ind w:right="47"/>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2/27/2023(7)</w:t>
            </w: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5,724</w:t>
            </w:r>
          </w:p>
        </w:tc>
        <w:tc>
          <w:tcPr>
            <w:tcW w:w="680" w:type="dxa"/>
            <w:vAlign w:val="bottom"/>
          </w:tcPr>
          <w:p>
            <w:pPr>
              <w:spacing w:after="0"/>
              <w:rPr>
                <w:sz w:val="12"/>
                <w:szCs w:val="12"/>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1,087,620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0" w:type="dxa"/>
            <w:vAlign w:val="bottom"/>
            <w:shd w:val="clear" w:color="auto" w:fill="D7E8F5"/>
          </w:tcPr>
          <w:p>
            <w:pPr>
              <w:spacing w:after="0"/>
              <w:rPr>
                <w:sz w:val="20"/>
                <w:szCs w:val="20"/>
                <w:color w:val="auto"/>
              </w:rPr>
            </w:pPr>
            <w:r>
              <w:rPr>
                <w:rFonts w:ascii="Arial" w:cs="Arial" w:eastAsia="Arial" w:hAnsi="Arial"/>
                <w:sz w:val="11"/>
                <w:szCs w:val="11"/>
                <w:color w:val="auto"/>
              </w:rPr>
              <w:t>  Pushkal Garg, M.D.</w:t>
            </w:r>
          </w:p>
        </w:tc>
        <w:tc>
          <w:tcPr>
            <w:tcW w:w="860" w:type="dxa"/>
            <w:vAlign w:val="bottom"/>
            <w:shd w:val="clear" w:color="auto" w:fill="D7E8F5"/>
          </w:tcPr>
          <w:p>
            <w:pPr>
              <w:jc w:val="right"/>
              <w:ind w:right="106"/>
              <w:spacing w:after="0"/>
              <w:rPr>
                <w:sz w:val="20"/>
                <w:szCs w:val="20"/>
                <w:color w:val="auto"/>
              </w:rPr>
            </w:pPr>
            <w:r>
              <w:rPr>
                <w:rFonts w:ascii="Arial" w:cs="Arial" w:eastAsia="Arial" w:hAnsi="Arial"/>
                <w:sz w:val="11"/>
                <w:szCs w:val="11"/>
                <w:color w:val="auto"/>
              </w:rPr>
              <w:t>—</w:t>
            </w:r>
          </w:p>
        </w:tc>
        <w:tc>
          <w:tcPr>
            <w:tcW w:w="740" w:type="dxa"/>
            <w:vAlign w:val="bottom"/>
            <w:shd w:val="clear" w:color="auto" w:fill="D7E8F5"/>
          </w:tcPr>
          <w:p>
            <w:pPr>
              <w:jc w:val="right"/>
              <w:spacing w:after="0"/>
              <w:rPr>
                <w:sz w:val="20"/>
                <w:szCs w:val="20"/>
                <w:color w:val="auto"/>
              </w:rPr>
            </w:pPr>
            <w:r>
              <w:rPr>
                <w:rFonts w:ascii="Arial" w:cs="Arial" w:eastAsia="Arial" w:hAnsi="Arial"/>
                <w:sz w:val="11"/>
                <w:szCs w:val="11"/>
                <w:color w:val="auto"/>
              </w:rPr>
              <w:t>182,325</w:t>
            </w:r>
          </w:p>
        </w:tc>
        <w:tc>
          <w:tcPr>
            <w:tcW w:w="880" w:type="dxa"/>
            <w:vAlign w:val="bottom"/>
            <w:shd w:val="clear" w:color="auto" w:fill="D7E8F5"/>
          </w:tcPr>
          <w:p>
            <w:pPr>
              <w:jc w:val="right"/>
              <w:ind w:right="126"/>
              <w:spacing w:after="0"/>
              <w:rPr>
                <w:sz w:val="20"/>
                <w:szCs w:val="20"/>
                <w:color w:val="auto"/>
              </w:rPr>
            </w:pPr>
            <w:r>
              <w:rPr>
                <w:rFonts w:ascii="Arial" w:cs="Arial" w:eastAsia="Arial" w:hAnsi="Arial"/>
                <w:sz w:val="11"/>
                <w:szCs w:val="11"/>
                <w:color w:val="auto"/>
              </w:rPr>
              <w:t>364,650</w:t>
            </w:r>
          </w:p>
        </w:tc>
        <w:tc>
          <w:tcPr>
            <w:tcW w:w="680" w:type="dxa"/>
            <w:vAlign w:val="bottom"/>
            <w:shd w:val="clear" w:color="auto" w:fill="D7E8F5"/>
          </w:tcPr>
          <w:p>
            <w:pPr>
              <w:jc w:val="right"/>
              <w:ind w:right="46"/>
              <w:spacing w:after="0"/>
              <w:rPr>
                <w:sz w:val="20"/>
                <w:szCs w:val="20"/>
                <w:color w:val="auto"/>
              </w:rPr>
            </w:pPr>
            <w:r>
              <w:rPr>
                <w:rFonts w:ascii="Arial" w:cs="Arial" w:eastAsia="Arial" w:hAnsi="Arial"/>
                <w:sz w:val="11"/>
                <w:szCs w:val="11"/>
                <w:color w:val="auto"/>
              </w:rPr>
              <w:t>546,980</w:t>
            </w:r>
          </w:p>
        </w:tc>
        <w:tc>
          <w:tcPr>
            <w:tcW w:w="640" w:type="dxa"/>
            <w:vAlign w:val="bottom"/>
            <w:shd w:val="clear" w:color="auto" w:fill="D7E8F5"/>
          </w:tcPr>
          <w:p>
            <w:pPr>
              <w:spacing w:after="0"/>
              <w:rPr>
                <w:sz w:val="15"/>
                <w:szCs w:val="15"/>
                <w:color w:val="auto"/>
              </w:rPr>
            </w:pPr>
          </w:p>
        </w:tc>
        <w:tc>
          <w:tcPr>
            <w:tcW w:w="820" w:type="dxa"/>
            <w:vAlign w:val="bottom"/>
            <w:shd w:val="clear" w:color="auto" w:fill="D7E8F5"/>
          </w:tcPr>
          <w:p>
            <w:pPr>
              <w:spacing w:after="0"/>
              <w:rPr>
                <w:sz w:val="15"/>
                <w:szCs w:val="15"/>
                <w:color w:val="auto"/>
              </w:rPr>
            </w:pPr>
          </w:p>
        </w:tc>
        <w:tc>
          <w:tcPr>
            <w:tcW w:w="180" w:type="dxa"/>
            <w:vAlign w:val="bottom"/>
            <w:shd w:val="clear" w:color="auto" w:fill="D7E8F5"/>
          </w:tcPr>
          <w:p>
            <w:pPr>
              <w:spacing w:after="0"/>
              <w:rPr>
                <w:sz w:val="15"/>
                <w:szCs w:val="15"/>
                <w:color w:val="auto"/>
              </w:rPr>
            </w:pPr>
          </w:p>
        </w:tc>
        <w:tc>
          <w:tcPr>
            <w:tcW w:w="380" w:type="dxa"/>
            <w:vAlign w:val="bottom"/>
            <w:shd w:val="clear" w:color="auto" w:fill="D7E8F5"/>
          </w:tcPr>
          <w:p>
            <w:pPr>
              <w:spacing w:after="0"/>
              <w:rPr>
                <w:sz w:val="15"/>
                <w:szCs w:val="15"/>
                <w:color w:val="auto"/>
              </w:rPr>
            </w:pPr>
          </w:p>
        </w:tc>
        <w:tc>
          <w:tcPr>
            <w:tcW w:w="880" w:type="dxa"/>
            <w:vAlign w:val="bottom"/>
            <w:vMerge w:val="restart"/>
            <w:shd w:val="clear" w:color="auto" w:fill="D7E8F5"/>
          </w:tcPr>
          <w:p>
            <w:pPr>
              <w:jc w:val="right"/>
              <w:ind w:right="67"/>
              <w:spacing w:after="0"/>
              <w:rPr>
                <w:sz w:val="20"/>
                <w:szCs w:val="20"/>
                <w:color w:val="auto"/>
              </w:rPr>
            </w:pPr>
            <w:r>
              <w:rPr>
                <w:rFonts w:ascii="Arial" w:cs="Arial" w:eastAsia="Arial" w:hAnsi="Arial"/>
                <w:sz w:val="11"/>
                <w:szCs w:val="11"/>
                <w:color w:val="auto"/>
              </w:rPr>
              <w:t>11,850</w:t>
            </w:r>
          </w:p>
        </w:tc>
        <w:tc>
          <w:tcPr>
            <w:tcW w:w="680" w:type="dxa"/>
            <w:vAlign w:val="bottom"/>
            <w:vMerge w:val="restart"/>
            <w:shd w:val="clear" w:color="auto" w:fill="D7E8F5"/>
          </w:tcPr>
          <w:p>
            <w:pPr>
              <w:jc w:val="right"/>
              <w:ind w:right="48"/>
              <w:spacing w:after="0"/>
              <w:rPr>
                <w:sz w:val="20"/>
                <w:szCs w:val="20"/>
                <w:color w:val="auto"/>
              </w:rPr>
            </w:pPr>
            <w:r>
              <w:rPr>
                <w:rFonts w:ascii="Arial" w:cs="Arial" w:eastAsia="Arial" w:hAnsi="Arial"/>
                <w:sz w:val="11"/>
                <w:szCs w:val="11"/>
                <w:color w:val="auto"/>
              </w:rPr>
              <w:t>190.01</w:t>
            </w:r>
          </w:p>
        </w:tc>
        <w:tc>
          <w:tcPr>
            <w:tcW w:w="680" w:type="dxa"/>
            <w:vAlign w:val="bottom"/>
            <w:vMerge w:val="restart"/>
            <w:shd w:val="clear" w:color="auto" w:fill="D7E8F5"/>
          </w:tcPr>
          <w:p>
            <w:pPr>
              <w:jc w:val="right"/>
              <w:ind w:right="47"/>
              <w:spacing w:after="0"/>
              <w:rPr>
                <w:sz w:val="20"/>
                <w:szCs w:val="20"/>
                <w:color w:val="auto"/>
              </w:rPr>
            </w:pPr>
            <w:r>
              <w:rPr>
                <w:rFonts w:ascii="Arial" w:cs="Arial" w:eastAsia="Arial" w:hAnsi="Arial"/>
                <w:sz w:val="11"/>
                <w:szCs w:val="11"/>
                <w:color w:val="auto"/>
              </w:rPr>
              <w:t>1,085,590</w:t>
            </w:r>
          </w:p>
        </w:tc>
        <w:tc>
          <w:tcPr>
            <w:tcW w:w="0" w:type="dxa"/>
            <w:vAlign w:val="bottom"/>
          </w:tcPr>
          <w:p>
            <w:pPr>
              <w:spacing w:after="0"/>
              <w:rPr>
                <w:sz w:val="1"/>
                <w:szCs w:val="1"/>
                <w:color w:val="auto"/>
              </w:rPr>
            </w:pPr>
          </w:p>
        </w:tc>
      </w:tr>
      <w:tr>
        <w:trPr>
          <w:trHeight w:val="108"/>
        </w:trPr>
        <w:tc>
          <w:tcPr>
            <w:tcW w:w="3600" w:type="dxa"/>
            <w:vAlign w:val="bottom"/>
            <w:shd w:val="clear" w:color="auto" w:fill="D7E8F5"/>
          </w:tcPr>
          <w:p>
            <w:pPr>
              <w:spacing w:after="0"/>
              <w:rPr>
                <w:sz w:val="9"/>
                <w:szCs w:val="9"/>
                <w:color w:val="auto"/>
              </w:rPr>
            </w:pPr>
          </w:p>
        </w:tc>
        <w:tc>
          <w:tcPr>
            <w:tcW w:w="860" w:type="dxa"/>
            <w:vAlign w:val="bottom"/>
            <w:shd w:val="clear" w:color="auto" w:fill="D7E8F5"/>
          </w:tcPr>
          <w:p>
            <w:pPr>
              <w:jc w:val="right"/>
              <w:spacing w:after="0" w:line="109" w:lineRule="exact"/>
              <w:rPr>
                <w:sz w:val="20"/>
                <w:szCs w:val="20"/>
                <w:color w:val="auto"/>
              </w:rPr>
            </w:pPr>
            <w:r>
              <w:rPr>
                <w:rFonts w:ascii="Arial" w:cs="Arial" w:eastAsia="Arial" w:hAnsi="Arial"/>
                <w:sz w:val="11"/>
                <w:szCs w:val="11"/>
                <w:color w:val="auto"/>
              </w:rPr>
              <w:t>2/27/2023(5)</w:t>
            </w:r>
          </w:p>
        </w:tc>
        <w:tc>
          <w:tcPr>
            <w:tcW w:w="740" w:type="dxa"/>
            <w:vAlign w:val="bottom"/>
            <w:shd w:val="clear" w:color="auto" w:fill="D7E8F5"/>
          </w:tcPr>
          <w:p>
            <w:pPr>
              <w:spacing w:after="0"/>
              <w:rPr>
                <w:sz w:val="9"/>
                <w:szCs w:val="9"/>
                <w:color w:val="auto"/>
              </w:rPr>
            </w:pPr>
          </w:p>
        </w:tc>
        <w:tc>
          <w:tcPr>
            <w:tcW w:w="880" w:type="dxa"/>
            <w:vAlign w:val="bottom"/>
            <w:shd w:val="clear" w:color="auto" w:fill="D7E8F5"/>
          </w:tcPr>
          <w:p>
            <w:pPr>
              <w:spacing w:after="0"/>
              <w:rPr>
                <w:sz w:val="9"/>
                <w:szCs w:val="9"/>
                <w:color w:val="auto"/>
              </w:rPr>
            </w:pPr>
          </w:p>
        </w:tc>
        <w:tc>
          <w:tcPr>
            <w:tcW w:w="680" w:type="dxa"/>
            <w:vAlign w:val="bottom"/>
            <w:shd w:val="clear" w:color="auto" w:fill="D7E8F5"/>
          </w:tcPr>
          <w:p>
            <w:pPr>
              <w:spacing w:after="0"/>
              <w:rPr>
                <w:sz w:val="9"/>
                <w:szCs w:val="9"/>
                <w:color w:val="auto"/>
              </w:rPr>
            </w:pPr>
          </w:p>
        </w:tc>
        <w:tc>
          <w:tcPr>
            <w:tcW w:w="640" w:type="dxa"/>
            <w:vAlign w:val="bottom"/>
            <w:shd w:val="clear" w:color="auto" w:fill="D7E8F5"/>
          </w:tcPr>
          <w:p>
            <w:pPr>
              <w:spacing w:after="0"/>
              <w:rPr>
                <w:sz w:val="9"/>
                <w:szCs w:val="9"/>
                <w:color w:val="auto"/>
              </w:rPr>
            </w:pPr>
          </w:p>
        </w:tc>
        <w:tc>
          <w:tcPr>
            <w:tcW w:w="820" w:type="dxa"/>
            <w:vAlign w:val="bottom"/>
            <w:shd w:val="clear" w:color="auto" w:fill="D7E8F5"/>
          </w:tcPr>
          <w:p>
            <w:pPr>
              <w:spacing w:after="0"/>
              <w:rPr>
                <w:sz w:val="9"/>
                <w:szCs w:val="9"/>
                <w:color w:val="auto"/>
              </w:rPr>
            </w:pPr>
          </w:p>
        </w:tc>
        <w:tc>
          <w:tcPr>
            <w:tcW w:w="180" w:type="dxa"/>
            <w:vAlign w:val="bottom"/>
            <w:shd w:val="clear" w:color="auto" w:fill="D7E8F5"/>
          </w:tcPr>
          <w:p>
            <w:pPr>
              <w:spacing w:after="0"/>
              <w:rPr>
                <w:sz w:val="9"/>
                <w:szCs w:val="9"/>
                <w:color w:val="auto"/>
              </w:rPr>
            </w:pPr>
          </w:p>
        </w:tc>
        <w:tc>
          <w:tcPr>
            <w:tcW w:w="380" w:type="dxa"/>
            <w:vAlign w:val="bottom"/>
            <w:shd w:val="clear" w:color="auto" w:fill="D7E8F5"/>
          </w:tcPr>
          <w:p>
            <w:pPr>
              <w:spacing w:after="0"/>
              <w:rPr>
                <w:sz w:val="9"/>
                <w:szCs w:val="9"/>
                <w:color w:val="auto"/>
              </w:rPr>
            </w:pPr>
          </w:p>
        </w:tc>
        <w:tc>
          <w:tcPr>
            <w:tcW w:w="880" w:type="dxa"/>
            <w:vAlign w:val="bottom"/>
            <w:vMerge w:val="continue"/>
            <w:shd w:val="clear" w:color="auto" w:fill="D7E8F5"/>
          </w:tcPr>
          <w:p>
            <w:pPr>
              <w:spacing w:after="0"/>
              <w:rPr>
                <w:sz w:val="9"/>
                <w:szCs w:val="9"/>
                <w:color w:val="auto"/>
              </w:rPr>
            </w:pPr>
          </w:p>
        </w:tc>
        <w:tc>
          <w:tcPr>
            <w:tcW w:w="680" w:type="dxa"/>
            <w:vAlign w:val="bottom"/>
            <w:vMerge w:val="continue"/>
            <w:shd w:val="clear" w:color="auto" w:fill="D7E8F5"/>
          </w:tcPr>
          <w:p>
            <w:pPr>
              <w:spacing w:after="0"/>
              <w:rPr>
                <w:sz w:val="9"/>
                <w:szCs w:val="9"/>
                <w:color w:val="auto"/>
              </w:rPr>
            </w:pPr>
          </w:p>
        </w:tc>
        <w:tc>
          <w:tcPr>
            <w:tcW w:w="680" w:type="dxa"/>
            <w:vAlign w:val="bottom"/>
            <w:vMerge w:val="continue"/>
            <w:shd w:val="clear" w:color="auto" w:fill="D7E8F5"/>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00" w:type="dxa"/>
            <w:vAlign w:val="bottom"/>
            <w:shd w:val="clear" w:color="auto" w:fill="D7E8F5"/>
          </w:tcPr>
          <w:p>
            <w:pPr>
              <w:spacing w:after="0"/>
              <w:rPr>
                <w:sz w:val="10"/>
                <w:szCs w:val="10"/>
                <w:color w:val="auto"/>
              </w:rPr>
            </w:pPr>
          </w:p>
        </w:tc>
        <w:tc>
          <w:tcPr>
            <w:tcW w:w="860" w:type="dxa"/>
            <w:vAlign w:val="bottom"/>
            <w:shd w:val="clear" w:color="auto" w:fill="D7E8F5"/>
          </w:tcPr>
          <w:p>
            <w:pPr>
              <w:jc w:val="right"/>
              <w:ind w:right="106"/>
              <w:spacing w:after="0" w:line="122" w:lineRule="exact"/>
              <w:rPr>
                <w:sz w:val="20"/>
                <w:szCs w:val="20"/>
                <w:color w:val="auto"/>
              </w:rPr>
            </w:pPr>
            <w:r>
              <w:rPr>
                <w:rFonts w:ascii="Arial" w:cs="Arial" w:eastAsia="Arial" w:hAnsi="Arial"/>
                <w:sz w:val="11"/>
                <w:szCs w:val="11"/>
                <w:color w:val="auto"/>
              </w:rPr>
              <w:t>2/27/2023(6)</w:t>
            </w:r>
          </w:p>
        </w:tc>
        <w:tc>
          <w:tcPr>
            <w:tcW w:w="740" w:type="dxa"/>
            <w:vAlign w:val="bottom"/>
            <w:shd w:val="clear" w:color="auto" w:fill="D7E8F5"/>
          </w:tcPr>
          <w:p>
            <w:pPr>
              <w:spacing w:after="0"/>
              <w:rPr>
                <w:sz w:val="10"/>
                <w:szCs w:val="10"/>
                <w:color w:val="auto"/>
              </w:rPr>
            </w:pPr>
          </w:p>
        </w:tc>
        <w:tc>
          <w:tcPr>
            <w:tcW w:w="880" w:type="dxa"/>
            <w:vAlign w:val="bottom"/>
            <w:shd w:val="clear" w:color="auto" w:fill="D7E8F5"/>
          </w:tcPr>
          <w:p>
            <w:pPr>
              <w:spacing w:after="0"/>
              <w:rPr>
                <w:sz w:val="10"/>
                <w:szCs w:val="10"/>
                <w:color w:val="auto"/>
              </w:rPr>
            </w:pPr>
          </w:p>
        </w:tc>
        <w:tc>
          <w:tcPr>
            <w:tcW w:w="680" w:type="dxa"/>
            <w:vAlign w:val="bottom"/>
            <w:shd w:val="clear" w:color="auto" w:fill="D7E8F5"/>
          </w:tcPr>
          <w:p>
            <w:pPr>
              <w:spacing w:after="0"/>
              <w:rPr>
                <w:sz w:val="10"/>
                <w:szCs w:val="10"/>
                <w:color w:val="auto"/>
              </w:rPr>
            </w:pPr>
          </w:p>
        </w:tc>
        <w:tc>
          <w:tcPr>
            <w:tcW w:w="640" w:type="dxa"/>
            <w:vAlign w:val="bottom"/>
            <w:shd w:val="clear" w:color="auto" w:fill="D7E8F5"/>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D7E8F5"/>
          </w:tcPr>
          <w:p>
            <w:pPr>
              <w:jc w:val="right"/>
              <w:ind w:right="166"/>
              <w:spacing w:after="0" w:line="122" w:lineRule="exact"/>
              <w:rPr>
                <w:sz w:val="20"/>
                <w:szCs w:val="20"/>
                <w:color w:val="auto"/>
              </w:rPr>
            </w:pPr>
            <w:r>
              <w:rPr>
                <w:rFonts w:ascii="Arial" w:cs="Arial" w:eastAsia="Arial" w:hAnsi="Arial"/>
                <w:sz w:val="11"/>
                <w:szCs w:val="11"/>
                <w:color w:val="auto"/>
              </w:rPr>
              <w:t>11,447</w:t>
            </w:r>
          </w:p>
        </w:tc>
        <w:tc>
          <w:tcPr>
            <w:tcW w:w="180" w:type="dxa"/>
            <w:vAlign w:val="bottom"/>
            <w:shd w:val="clear" w:color="auto" w:fill="D7E8F5"/>
          </w:tcPr>
          <w:p>
            <w:pPr>
              <w:spacing w:after="0"/>
              <w:rPr>
                <w:sz w:val="10"/>
                <w:szCs w:val="10"/>
                <w:color w:val="auto"/>
              </w:rPr>
            </w:pPr>
          </w:p>
        </w:tc>
        <w:tc>
          <w:tcPr>
            <w:tcW w:w="380" w:type="dxa"/>
            <w:vAlign w:val="bottom"/>
            <w:shd w:val="clear" w:color="auto" w:fill="D7E8F5"/>
          </w:tcPr>
          <w:p>
            <w:pPr>
              <w:jc w:val="right"/>
              <w:spacing w:after="0" w:line="122" w:lineRule="exact"/>
              <w:rPr>
                <w:sz w:val="20"/>
                <w:szCs w:val="20"/>
                <w:color w:val="auto"/>
              </w:rPr>
            </w:pPr>
            <w:r>
              <w:rPr>
                <w:rFonts w:ascii="Arial" w:cs="Arial" w:eastAsia="Arial" w:hAnsi="Arial"/>
                <w:sz w:val="11"/>
                <w:szCs w:val="11"/>
                <w:color w:val="auto"/>
                <w:w w:val="94"/>
              </w:rPr>
              <w:t>11,447</w:t>
            </w:r>
          </w:p>
        </w:tc>
        <w:tc>
          <w:tcPr>
            <w:tcW w:w="880" w:type="dxa"/>
            <w:vAlign w:val="bottom"/>
            <w:shd w:val="clear" w:color="auto" w:fill="D7E8F5"/>
          </w:tcPr>
          <w:p>
            <w:pPr>
              <w:spacing w:after="0"/>
              <w:rPr>
                <w:sz w:val="10"/>
                <w:szCs w:val="10"/>
                <w:color w:val="auto"/>
              </w:rPr>
            </w:pPr>
          </w:p>
        </w:tc>
        <w:tc>
          <w:tcPr>
            <w:tcW w:w="680" w:type="dxa"/>
            <w:vAlign w:val="bottom"/>
            <w:shd w:val="clear" w:color="auto" w:fill="D7E8F5"/>
          </w:tcPr>
          <w:p>
            <w:pPr>
              <w:spacing w:after="0"/>
              <w:rPr>
                <w:sz w:val="10"/>
                <w:szCs w:val="10"/>
                <w:color w:val="auto"/>
              </w:rPr>
            </w:pPr>
          </w:p>
        </w:tc>
        <w:tc>
          <w:tcPr>
            <w:tcW w:w="680" w:type="dxa"/>
            <w:vAlign w:val="bottom"/>
            <w:shd w:val="clear" w:color="auto" w:fill="D7E8F5"/>
          </w:tcPr>
          <w:p>
            <w:pPr>
              <w:jc w:val="right"/>
              <w:ind w:right="47"/>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D7E8F5"/>
            </w:tcBorders>
            <w:shd w:val="clear" w:color="auto" w:fill="D7E8F5"/>
          </w:tcPr>
          <w:p>
            <w:pPr>
              <w:spacing w:after="0"/>
              <w:rPr>
                <w:sz w:val="12"/>
                <w:szCs w:val="12"/>
                <w:color w:val="auto"/>
              </w:rPr>
            </w:pPr>
          </w:p>
        </w:tc>
        <w:tc>
          <w:tcPr>
            <w:tcW w:w="860" w:type="dxa"/>
            <w:vAlign w:val="bottom"/>
            <w:tcBorders>
              <w:bottom w:val="single" w:sz="8" w:color="D7E8F5"/>
            </w:tcBorders>
            <w:shd w:val="clear" w:color="auto" w:fill="D7E8F5"/>
          </w:tcPr>
          <w:p>
            <w:pPr>
              <w:jc w:val="right"/>
              <w:ind w:right="106"/>
              <w:spacing w:after="0"/>
              <w:rPr>
                <w:sz w:val="20"/>
                <w:szCs w:val="20"/>
                <w:color w:val="auto"/>
              </w:rPr>
            </w:pPr>
            <w:r>
              <w:rPr>
                <w:rFonts w:ascii="Arial" w:cs="Arial" w:eastAsia="Arial" w:hAnsi="Arial"/>
                <w:sz w:val="11"/>
                <w:szCs w:val="11"/>
                <w:color w:val="auto"/>
              </w:rPr>
              <w:t>2/27/2023(7)</w:t>
            </w:r>
          </w:p>
        </w:tc>
        <w:tc>
          <w:tcPr>
            <w:tcW w:w="740" w:type="dxa"/>
            <w:vAlign w:val="bottom"/>
            <w:tcBorders>
              <w:bottom w:val="single" w:sz="8" w:color="D7E8F5"/>
            </w:tcBorders>
            <w:shd w:val="clear" w:color="auto" w:fill="D7E8F5"/>
          </w:tcPr>
          <w:p>
            <w:pPr>
              <w:spacing w:after="0"/>
              <w:rPr>
                <w:sz w:val="12"/>
                <w:szCs w:val="12"/>
                <w:color w:val="auto"/>
              </w:rPr>
            </w:pPr>
          </w:p>
        </w:tc>
        <w:tc>
          <w:tcPr>
            <w:tcW w:w="880" w:type="dxa"/>
            <w:vAlign w:val="bottom"/>
            <w:tcBorders>
              <w:bottom w:val="single" w:sz="8" w:color="D7E8F5"/>
            </w:tcBorders>
            <w:shd w:val="clear" w:color="auto" w:fill="D7E8F5"/>
          </w:tcPr>
          <w:p>
            <w:pPr>
              <w:spacing w:after="0"/>
              <w:rPr>
                <w:sz w:val="12"/>
                <w:szCs w:val="12"/>
                <w:color w:val="auto"/>
              </w:rPr>
            </w:pPr>
          </w:p>
        </w:tc>
        <w:tc>
          <w:tcPr>
            <w:tcW w:w="680" w:type="dxa"/>
            <w:vAlign w:val="bottom"/>
            <w:tcBorders>
              <w:bottom w:val="single" w:sz="8" w:color="D7E8F5"/>
            </w:tcBorders>
            <w:shd w:val="clear" w:color="auto" w:fill="D7E8F5"/>
          </w:tcPr>
          <w:p>
            <w:pPr>
              <w:spacing w:after="0"/>
              <w:rPr>
                <w:sz w:val="12"/>
                <w:szCs w:val="12"/>
                <w:color w:val="auto"/>
              </w:rPr>
            </w:pPr>
          </w:p>
        </w:tc>
        <w:tc>
          <w:tcPr>
            <w:tcW w:w="640" w:type="dxa"/>
            <w:vAlign w:val="bottom"/>
            <w:tcBorders>
              <w:bottom w:val="single" w:sz="8" w:color="D7E8F5"/>
            </w:tcBorders>
            <w:shd w:val="clear" w:color="auto" w:fill="D7E8F5"/>
          </w:tcPr>
          <w:p>
            <w:pPr>
              <w:spacing w:after="0"/>
              <w:rPr>
                <w:sz w:val="12"/>
                <w:szCs w:val="12"/>
                <w:color w:val="auto"/>
              </w:rPr>
            </w:pPr>
          </w:p>
        </w:tc>
        <w:tc>
          <w:tcPr>
            <w:tcW w:w="820" w:type="dxa"/>
            <w:vAlign w:val="bottom"/>
            <w:tcBorders>
              <w:bottom w:val="single" w:sz="8" w:color="D7E8F5"/>
            </w:tcBorders>
            <w:shd w:val="clear" w:color="auto" w:fill="D7E8F5"/>
          </w:tcPr>
          <w:p>
            <w:pPr>
              <w:spacing w:after="0"/>
              <w:rPr>
                <w:sz w:val="12"/>
                <w:szCs w:val="12"/>
                <w:color w:val="auto"/>
              </w:rPr>
            </w:pPr>
          </w:p>
        </w:tc>
        <w:tc>
          <w:tcPr>
            <w:tcW w:w="180" w:type="dxa"/>
            <w:vAlign w:val="bottom"/>
            <w:tcBorders>
              <w:bottom w:val="single" w:sz="8" w:color="D7E8F5"/>
            </w:tcBorders>
            <w:shd w:val="clear" w:color="auto" w:fill="D7E8F5"/>
          </w:tcPr>
          <w:p>
            <w:pPr>
              <w:spacing w:after="0"/>
              <w:rPr>
                <w:sz w:val="12"/>
                <w:szCs w:val="12"/>
                <w:color w:val="auto"/>
              </w:rPr>
            </w:pPr>
          </w:p>
        </w:tc>
        <w:tc>
          <w:tcPr>
            <w:tcW w:w="380" w:type="dxa"/>
            <w:vAlign w:val="bottom"/>
            <w:tcBorders>
              <w:bottom w:val="single" w:sz="8" w:color="D7E8F5"/>
            </w:tcBorders>
            <w:shd w:val="clear" w:color="auto" w:fill="D7E8F5"/>
          </w:tcPr>
          <w:p>
            <w:pPr>
              <w:spacing w:after="0"/>
              <w:rPr>
                <w:sz w:val="12"/>
                <w:szCs w:val="12"/>
                <w:color w:val="auto"/>
              </w:rPr>
            </w:pPr>
          </w:p>
        </w:tc>
        <w:tc>
          <w:tcPr>
            <w:tcW w:w="880" w:type="dxa"/>
            <w:vAlign w:val="bottom"/>
            <w:tcBorders>
              <w:bottom w:val="single" w:sz="8" w:color="D7E8F5"/>
            </w:tcBorders>
            <w:shd w:val="clear" w:color="auto" w:fill="D7E8F5"/>
          </w:tcPr>
          <w:p>
            <w:pPr>
              <w:jc w:val="right"/>
              <w:ind w:right="67"/>
              <w:spacing w:after="0"/>
              <w:rPr>
                <w:sz w:val="20"/>
                <w:szCs w:val="20"/>
                <w:color w:val="auto"/>
              </w:rPr>
            </w:pPr>
            <w:r>
              <w:rPr>
                <w:rFonts w:ascii="Arial" w:cs="Arial" w:eastAsia="Arial" w:hAnsi="Arial"/>
                <w:sz w:val="11"/>
                <w:szCs w:val="11"/>
                <w:color w:val="auto"/>
              </w:rPr>
              <w:t>5,724</w:t>
            </w:r>
          </w:p>
        </w:tc>
        <w:tc>
          <w:tcPr>
            <w:tcW w:w="680" w:type="dxa"/>
            <w:vAlign w:val="bottom"/>
            <w:tcBorders>
              <w:bottom w:val="single" w:sz="8" w:color="D7E8F5"/>
            </w:tcBorders>
            <w:shd w:val="clear" w:color="auto" w:fill="D7E8F5"/>
          </w:tcPr>
          <w:p>
            <w:pPr>
              <w:spacing w:after="0"/>
              <w:rPr>
                <w:sz w:val="12"/>
                <w:szCs w:val="12"/>
                <w:color w:val="auto"/>
              </w:rPr>
            </w:pPr>
          </w:p>
        </w:tc>
        <w:tc>
          <w:tcPr>
            <w:tcW w:w="680" w:type="dxa"/>
            <w:vAlign w:val="bottom"/>
            <w:tcBorders>
              <w:bottom w:val="single" w:sz="8" w:color="D7E8F5"/>
            </w:tcBorders>
            <w:shd w:val="clear" w:color="auto" w:fill="D7E8F5"/>
          </w:tcPr>
          <w:p>
            <w:pPr>
              <w:jc w:val="right"/>
              <w:ind w:right="47"/>
              <w:spacing w:after="0"/>
              <w:rPr>
                <w:sz w:val="20"/>
                <w:szCs w:val="20"/>
                <w:color w:val="auto"/>
              </w:rPr>
            </w:pPr>
            <w:r>
              <w:rPr>
                <w:rFonts w:ascii="Arial" w:cs="Arial" w:eastAsia="Arial" w:hAnsi="Arial"/>
                <w:sz w:val="11"/>
                <w:szCs w:val="11"/>
                <w:color w:val="auto"/>
              </w:rPr>
              <w:t>1,087,620</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1"/>
                <w:szCs w:val="11"/>
                <w:color w:val="auto"/>
              </w:rPr>
              <w:t>  Tolga Tanguler</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167,750</w:t>
            </w:r>
          </w:p>
        </w:tc>
        <w:tc>
          <w:tcPr>
            <w:tcW w:w="880" w:type="dxa"/>
            <w:vAlign w:val="bottom"/>
          </w:tcPr>
          <w:p>
            <w:pPr>
              <w:jc w:val="right"/>
              <w:ind w:right="126"/>
              <w:spacing w:after="0"/>
              <w:rPr>
                <w:sz w:val="20"/>
                <w:szCs w:val="20"/>
                <w:color w:val="auto"/>
              </w:rPr>
            </w:pPr>
            <w:r>
              <w:rPr>
                <w:rFonts w:ascii="Arial" w:cs="Arial" w:eastAsia="Arial" w:hAnsi="Arial"/>
                <w:sz w:val="11"/>
                <w:szCs w:val="11"/>
                <w:color w:val="auto"/>
              </w:rPr>
              <w:t>335,500</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503,250</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2/27/2023(5)</w:t>
            </w: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ind w:right="67"/>
              <w:spacing w:after="0" w:line="122" w:lineRule="exact"/>
              <w:rPr>
                <w:sz w:val="20"/>
                <w:szCs w:val="20"/>
                <w:color w:val="auto"/>
              </w:rPr>
            </w:pPr>
            <w:r>
              <w:rPr>
                <w:rFonts w:ascii="Arial" w:cs="Arial" w:eastAsia="Arial" w:hAnsi="Arial"/>
                <w:sz w:val="11"/>
                <w:szCs w:val="11"/>
                <w:color w:val="auto"/>
              </w:rPr>
              <w:t>10,352</w:t>
            </w:r>
          </w:p>
        </w:tc>
        <w:tc>
          <w:tcPr>
            <w:tcW w:w="680" w:type="dxa"/>
            <w:vAlign w:val="bottom"/>
          </w:tcPr>
          <w:p>
            <w:pPr>
              <w:jc w:val="right"/>
              <w:ind w:right="48"/>
              <w:spacing w:after="0" w:line="122" w:lineRule="exact"/>
              <w:rPr>
                <w:sz w:val="20"/>
                <w:szCs w:val="20"/>
                <w:color w:val="auto"/>
              </w:rPr>
            </w:pPr>
            <w:r>
              <w:rPr>
                <w:rFonts w:ascii="Arial" w:cs="Arial" w:eastAsia="Arial" w:hAnsi="Arial"/>
                <w:sz w:val="11"/>
                <w:szCs w:val="11"/>
                <w:color w:val="auto"/>
              </w:rPr>
              <w:t>190.01</w:t>
            </w:r>
          </w:p>
        </w:tc>
        <w:tc>
          <w:tcPr>
            <w:tcW w:w="680" w:type="dxa"/>
            <w:vAlign w:val="bottom"/>
          </w:tcPr>
          <w:p>
            <w:pPr>
              <w:jc w:val="right"/>
              <w:ind w:right="47"/>
              <w:spacing w:after="0" w:line="122" w:lineRule="exact"/>
              <w:rPr>
                <w:sz w:val="20"/>
                <w:szCs w:val="20"/>
                <w:color w:val="auto"/>
              </w:rPr>
            </w:pPr>
            <w:r>
              <w:rPr>
                <w:rFonts w:ascii="Arial" w:cs="Arial" w:eastAsia="Arial" w:hAnsi="Arial"/>
                <w:sz w:val="11"/>
                <w:szCs w:val="11"/>
                <w:color w:val="auto"/>
              </w:rPr>
              <w:t>948,360</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2/27/2023(6)</w:t>
            </w: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10,000</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w w:val="94"/>
              </w:rPr>
              <w:t>10,000</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2/27/2023(7)</w:t>
            </w: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5,000</w:t>
            </w:r>
          </w:p>
        </w:tc>
        <w:tc>
          <w:tcPr>
            <w:tcW w:w="680" w:type="dxa"/>
            <w:vAlign w:val="bottom"/>
          </w:tcPr>
          <w:p>
            <w:pPr>
              <w:spacing w:after="0"/>
              <w:rPr>
                <w:sz w:val="12"/>
                <w:szCs w:val="12"/>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950,050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0" w:type="dxa"/>
            <w:vAlign w:val="bottom"/>
            <w:shd w:val="clear" w:color="auto" w:fill="D7E8F5"/>
          </w:tcPr>
          <w:p>
            <w:pPr>
              <w:spacing w:after="0"/>
              <w:rPr>
                <w:sz w:val="20"/>
                <w:szCs w:val="20"/>
                <w:color w:val="auto"/>
              </w:rPr>
            </w:pPr>
            <w:r>
              <w:rPr>
                <w:rFonts w:ascii="Arial" w:cs="Arial" w:eastAsia="Arial" w:hAnsi="Arial"/>
                <w:sz w:val="11"/>
                <w:szCs w:val="11"/>
                <w:color w:val="auto"/>
              </w:rPr>
              <w:t>  Indrani L. Franchini, J.D.(8)</w:t>
            </w:r>
          </w:p>
        </w:tc>
        <w:tc>
          <w:tcPr>
            <w:tcW w:w="860" w:type="dxa"/>
            <w:vAlign w:val="bottom"/>
            <w:shd w:val="clear" w:color="auto" w:fill="D7E8F5"/>
          </w:tcPr>
          <w:p>
            <w:pPr>
              <w:jc w:val="right"/>
              <w:ind w:right="106"/>
              <w:spacing w:after="0"/>
              <w:rPr>
                <w:sz w:val="20"/>
                <w:szCs w:val="20"/>
                <w:color w:val="auto"/>
              </w:rPr>
            </w:pPr>
            <w:r>
              <w:rPr>
                <w:rFonts w:ascii="Arial" w:cs="Arial" w:eastAsia="Arial" w:hAnsi="Arial"/>
                <w:sz w:val="11"/>
                <w:szCs w:val="11"/>
                <w:color w:val="auto"/>
              </w:rPr>
              <w:t>—</w:t>
            </w:r>
          </w:p>
        </w:tc>
        <w:tc>
          <w:tcPr>
            <w:tcW w:w="740" w:type="dxa"/>
            <w:vAlign w:val="bottom"/>
            <w:shd w:val="clear" w:color="auto" w:fill="D7E8F5"/>
          </w:tcPr>
          <w:p>
            <w:pPr>
              <w:jc w:val="right"/>
              <w:spacing w:after="0"/>
              <w:rPr>
                <w:sz w:val="20"/>
                <w:szCs w:val="20"/>
                <w:color w:val="auto"/>
              </w:rPr>
            </w:pPr>
            <w:r>
              <w:rPr>
                <w:rFonts w:ascii="Arial" w:cs="Arial" w:eastAsia="Arial" w:hAnsi="Arial"/>
                <w:sz w:val="11"/>
                <w:szCs w:val="11"/>
                <w:color w:val="auto"/>
              </w:rPr>
              <w:t>164,175</w:t>
            </w:r>
          </w:p>
        </w:tc>
        <w:tc>
          <w:tcPr>
            <w:tcW w:w="880" w:type="dxa"/>
            <w:vAlign w:val="bottom"/>
            <w:shd w:val="clear" w:color="auto" w:fill="D7E8F5"/>
          </w:tcPr>
          <w:p>
            <w:pPr>
              <w:jc w:val="right"/>
              <w:ind w:right="126"/>
              <w:spacing w:after="0"/>
              <w:rPr>
                <w:sz w:val="20"/>
                <w:szCs w:val="20"/>
                <w:color w:val="auto"/>
              </w:rPr>
            </w:pPr>
            <w:r>
              <w:rPr>
                <w:rFonts w:ascii="Arial" w:cs="Arial" w:eastAsia="Arial" w:hAnsi="Arial"/>
                <w:sz w:val="11"/>
                <w:szCs w:val="11"/>
                <w:color w:val="auto"/>
              </w:rPr>
              <w:t>328,350</w:t>
            </w:r>
          </w:p>
        </w:tc>
        <w:tc>
          <w:tcPr>
            <w:tcW w:w="680" w:type="dxa"/>
            <w:vAlign w:val="bottom"/>
            <w:shd w:val="clear" w:color="auto" w:fill="D7E8F5"/>
          </w:tcPr>
          <w:p>
            <w:pPr>
              <w:jc w:val="right"/>
              <w:ind w:right="46"/>
              <w:spacing w:after="0"/>
              <w:rPr>
                <w:sz w:val="20"/>
                <w:szCs w:val="20"/>
                <w:color w:val="auto"/>
              </w:rPr>
            </w:pPr>
            <w:r>
              <w:rPr>
                <w:rFonts w:ascii="Arial" w:cs="Arial" w:eastAsia="Arial" w:hAnsi="Arial"/>
                <w:sz w:val="11"/>
                <w:szCs w:val="11"/>
                <w:color w:val="auto"/>
              </w:rPr>
              <w:t>492,530</w:t>
            </w:r>
          </w:p>
        </w:tc>
        <w:tc>
          <w:tcPr>
            <w:tcW w:w="640" w:type="dxa"/>
            <w:vAlign w:val="bottom"/>
            <w:shd w:val="clear" w:color="auto" w:fill="D7E8F5"/>
          </w:tcPr>
          <w:p>
            <w:pPr>
              <w:spacing w:after="0"/>
              <w:rPr>
                <w:sz w:val="15"/>
                <w:szCs w:val="15"/>
                <w:color w:val="auto"/>
              </w:rPr>
            </w:pPr>
          </w:p>
        </w:tc>
        <w:tc>
          <w:tcPr>
            <w:tcW w:w="820" w:type="dxa"/>
            <w:vAlign w:val="bottom"/>
            <w:shd w:val="clear" w:color="auto" w:fill="D7E8F5"/>
          </w:tcPr>
          <w:p>
            <w:pPr>
              <w:spacing w:after="0"/>
              <w:rPr>
                <w:sz w:val="15"/>
                <w:szCs w:val="15"/>
                <w:color w:val="auto"/>
              </w:rPr>
            </w:pPr>
          </w:p>
        </w:tc>
        <w:tc>
          <w:tcPr>
            <w:tcW w:w="180" w:type="dxa"/>
            <w:vAlign w:val="bottom"/>
            <w:shd w:val="clear" w:color="auto" w:fill="D7E8F5"/>
          </w:tcPr>
          <w:p>
            <w:pPr>
              <w:spacing w:after="0"/>
              <w:rPr>
                <w:sz w:val="15"/>
                <w:szCs w:val="15"/>
                <w:color w:val="auto"/>
              </w:rPr>
            </w:pPr>
          </w:p>
        </w:tc>
        <w:tc>
          <w:tcPr>
            <w:tcW w:w="380" w:type="dxa"/>
            <w:vAlign w:val="bottom"/>
            <w:shd w:val="clear" w:color="auto" w:fill="D7E8F5"/>
          </w:tcPr>
          <w:p>
            <w:pPr>
              <w:spacing w:after="0"/>
              <w:rPr>
                <w:sz w:val="15"/>
                <w:szCs w:val="15"/>
                <w:color w:val="auto"/>
              </w:rPr>
            </w:pPr>
          </w:p>
        </w:tc>
        <w:tc>
          <w:tcPr>
            <w:tcW w:w="880" w:type="dxa"/>
            <w:vAlign w:val="bottom"/>
            <w:vMerge w:val="restart"/>
            <w:shd w:val="clear" w:color="auto" w:fill="D7E8F5"/>
          </w:tcPr>
          <w:p>
            <w:pPr>
              <w:jc w:val="right"/>
              <w:ind w:right="67"/>
              <w:spacing w:after="0"/>
              <w:rPr>
                <w:sz w:val="20"/>
                <w:szCs w:val="20"/>
                <w:color w:val="auto"/>
              </w:rPr>
            </w:pPr>
            <w:r>
              <w:rPr>
                <w:rFonts w:ascii="Arial" w:cs="Arial" w:eastAsia="Arial" w:hAnsi="Arial"/>
                <w:sz w:val="11"/>
                <w:szCs w:val="11"/>
                <w:color w:val="auto"/>
              </w:rPr>
              <w:t>5,449</w:t>
            </w:r>
          </w:p>
        </w:tc>
        <w:tc>
          <w:tcPr>
            <w:tcW w:w="680" w:type="dxa"/>
            <w:vAlign w:val="bottom"/>
            <w:vMerge w:val="restart"/>
            <w:shd w:val="clear" w:color="auto" w:fill="D7E8F5"/>
          </w:tcPr>
          <w:p>
            <w:pPr>
              <w:jc w:val="right"/>
              <w:ind w:right="48"/>
              <w:spacing w:after="0"/>
              <w:rPr>
                <w:sz w:val="20"/>
                <w:szCs w:val="20"/>
                <w:color w:val="auto"/>
              </w:rPr>
            </w:pPr>
            <w:r>
              <w:rPr>
                <w:rFonts w:ascii="Arial" w:cs="Arial" w:eastAsia="Arial" w:hAnsi="Arial"/>
                <w:sz w:val="11"/>
                <w:szCs w:val="11"/>
                <w:color w:val="auto"/>
              </w:rPr>
              <w:t>190.01</w:t>
            </w:r>
          </w:p>
        </w:tc>
        <w:tc>
          <w:tcPr>
            <w:tcW w:w="680" w:type="dxa"/>
            <w:vAlign w:val="bottom"/>
            <w:vMerge w:val="restart"/>
            <w:shd w:val="clear" w:color="auto" w:fill="D7E8F5"/>
          </w:tcPr>
          <w:p>
            <w:pPr>
              <w:jc w:val="right"/>
              <w:ind w:right="47"/>
              <w:spacing w:after="0"/>
              <w:rPr>
                <w:sz w:val="20"/>
                <w:szCs w:val="20"/>
                <w:color w:val="auto"/>
              </w:rPr>
            </w:pPr>
            <w:r>
              <w:rPr>
                <w:rFonts w:ascii="Arial" w:cs="Arial" w:eastAsia="Arial" w:hAnsi="Arial"/>
                <w:sz w:val="11"/>
                <w:szCs w:val="11"/>
                <w:color w:val="auto"/>
              </w:rPr>
              <w:t>499,190</w:t>
            </w:r>
          </w:p>
        </w:tc>
        <w:tc>
          <w:tcPr>
            <w:tcW w:w="0" w:type="dxa"/>
            <w:vAlign w:val="bottom"/>
          </w:tcPr>
          <w:p>
            <w:pPr>
              <w:spacing w:after="0"/>
              <w:rPr>
                <w:sz w:val="1"/>
                <w:szCs w:val="1"/>
                <w:color w:val="auto"/>
              </w:rPr>
            </w:pPr>
          </w:p>
        </w:tc>
      </w:tr>
      <w:tr>
        <w:trPr>
          <w:trHeight w:val="121"/>
        </w:trPr>
        <w:tc>
          <w:tcPr>
            <w:tcW w:w="3600" w:type="dxa"/>
            <w:vAlign w:val="bottom"/>
            <w:shd w:val="clear" w:color="auto" w:fill="D7E8F5"/>
          </w:tcPr>
          <w:p>
            <w:pPr>
              <w:spacing w:after="0"/>
              <w:rPr>
                <w:sz w:val="10"/>
                <w:szCs w:val="10"/>
                <w:color w:val="auto"/>
              </w:rPr>
            </w:pPr>
          </w:p>
        </w:tc>
        <w:tc>
          <w:tcPr>
            <w:tcW w:w="860" w:type="dxa"/>
            <w:vAlign w:val="bottom"/>
            <w:shd w:val="clear" w:color="auto" w:fill="D7E8F5"/>
          </w:tcPr>
          <w:p>
            <w:pPr>
              <w:jc w:val="right"/>
              <w:spacing w:after="0" w:line="122" w:lineRule="exact"/>
              <w:rPr>
                <w:sz w:val="20"/>
                <w:szCs w:val="20"/>
                <w:color w:val="auto"/>
              </w:rPr>
            </w:pPr>
            <w:r>
              <w:rPr>
                <w:rFonts w:ascii="Arial" w:cs="Arial" w:eastAsia="Arial" w:hAnsi="Arial"/>
                <w:sz w:val="11"/>
                <w:szCs w:val="11"/>
                <w:color w:val="auto"/>
              </w:rPr>
              <w:t>2/27/2023(5)</w:t>
            </w:r>
          </w:p>
        </w:tc>
        <w:tc>
          <w:tcPr>
            <w:tcW w:w="740" w:type="dxa"/>
            <w:vAlign w:val="bottom"/>
            <w:shd w:val="clear" w:color="auto" w:fill="D7E8F5"/>
          </w:tcPr>
          <w:p>
            <w:pPr>
              <w:spacing w:after="0"/>
              <w:rPr>
                <w:sz w:val="10"/>
                <w:szCs w:val="10"/>
                <w:color w:val="auto"/>
              </w:rPr>
            </w:pPr>
          </w:p>
        </w:tc>
        <w:tc>
          <w:tcPr>
            <w:tcW w:w="880" w:type="dxa"/>
            <w:vAlign w:val="bottom"/>
            <w:shd w:val="clear" w:color="auto" w:fill="D7E8F5"/>
          </w:tcPr>
          <w:p>
            <w:pPr>
              <w:spacing w:after="0"/>
              <w:rPr>
                <w:sz w:val="10"/>
                <w:szCs w:val="10"/>
                <w:color w:val="auto"/>
              </w:rPr>
            </w:pPr>
          </w:p>
        </w:tc>
        <w:tc>
          <w:tcPr>
            <w:tcW w:w="680" w:type="dxa"/>
            <w:vAlign w:val="bottom"/>
            <w:shd w:val="clear" w:color="auto" w:fill="D7E8F5"/>
          </w:tcPr>
          <w:p>
            <w:pPr>
              <w:spacing w:after="0"/>
              <w:rPr>
                <w:sz w:val="10"/>
                <w:szCs w:val="10"/>
                <w:color w:val="auto"/>
              </w:rPr>
            </w:pPr>
          </w:p>
        </w:tc>
        <w:tc>
          <w:tcPr>
            <w:tcW w:w="640" w:type="dxa"/>
            <w:vAlign w:val="bottom"/>
            <w:vMerge w:val="restart"/>
            <w:shd w:val="clear" w:color="auto" w:fill="D7E8F5"/>
          </w:tcPr>
          <w:p>
            <w:pPr>
              <w:jc w:val="right"/>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D7E8F5"/>
          </w:tcPr>
          <w:p>
            <w:pPr>
              <w:jc w:val="right"/>
              <w:ind w:right="166"/>
              <w:spacing w:after="0"/>
              <w:rPr>
                <w:sz w:val="20"/>
                <w:szCs w:val="20"/>
                <w:color w:val="auto"/>
              </w:rPr>
            </w:pPr>
            <w:r>
              <w:rPr>
                <w:rFonts w:ascii="Arial" w:cs="Arial" w:eastAsia="Arial" w:hAnsi="Arial"/>
                <w:sz w:val="11"/>
                <w:szCs w:val="11"/>
                <w:color w:val="auto"/>
              </w:rPr>
              <w:t>5,263</w:t>
            </w:r>
          </w:p>
        </w:tc>
        <w:tc>
          <w:tcPr>
            <w:tcW w:w="180" w:type="dxa"/>
            <w:vAlign w:val="bottom"/>
            <w:shd w:val="clear" w:color="auto" w:fill="D7E8F5"/>
          </w:tcPr>
          <w:p>
            <w:pPr>
              <w:spacing w:after="0"/>
              <w:rPr>
                <w:sz w:val="10"/>
                <w:szCs w:val="10"/>
                <w:color w:val="auto"/>
              </w:rPr>
            </w:pPr>
          </w:p>
        </w:tc>
        <w:tc>
          <w:tcPr>
            <w:tcW w:w="380" w:type="dxa"/>
            <w:vAlign w:val="bottom"/>
            <w:vMerge w:val="restart"/>
            <w:shd w:val="clear" w:color="auto" w:fill="D7E8F5"/>
          </w:tcPr>
          <w:p>
            <w:pPr>
              <w:jc w:val="right"/>
              <w:spacing w:after="0"/>
              <w:rPr>
                <w:sz w:val="20"/>
                <w:szCs w:val="20"/>
                <w:color w:val="auto"/>
              </w:rPr>
            </w:pPr>
            <w:r>
              <w:rPr>
                <w:rFonts w:ascii="Arial" w:cs="Arial" w:eastAsia="Arial" w:hAnsi="Arial"/>
                <w:sz w:val="11"/>
                <w:szCs w:val="11"/>
                <w:color w:val="auto"/>
              </w:rPr>
              <w:t>5,263</w:t>
            </w:r>
          </w:p>
        </w:tc>
        <w:tc>
          <w:tcPr>
            <w:tcW w:w="880" w:type="dxa"/>
            <w:vAlign w:val="bottom"/>
            <w:vMerge w:val="continue"/>
            <w:shd w:val="clear" w:color="auto" w:fill="D7E8F5"/>
          </w:tcPr>
          <w:p>
            <w:pPr>
              <w:spacing w:after="0"/>
              <w:rPr>
                <w:sz w:val="10"/>
                <w:szCs w:val="10"/>
                <w:color w:val="auto"/>
              </w:rPr>
            </w:pPr>
          </w:p>
        </w:tc>
        <w:tc>
          <w:tcPr>
            <w:tcW w:w="680" w:type="dxa"/>
            <w:vAlign w:val="bottom"/>
            <w:vMerge w:val="continue"/>
            <w:shd w:val="clear" w:color="auto" w:fill="D7E8F5"/>
          </w:tcPr>
          <w:p>
            <w:pPr>
              <w:spacing w:after="0"/>
              <w:rPr>
                <w:sz w:val="10"/>
                <w:szCs w:val="10"/>
                <w:color w:val="auto"/>
              </w:rPr>
            </w:pPr>
          </w:p>
        </w:tc>
        <w:tc>
          <w:tcPr>
            <w:tcW w:w="680" w:type="dxa"/>
            <w:vAlign w:val="bottom"/>
            <w:vMerge w:val="continue"/>
            <w:shd w:val="clear" w:color="auto" w:fill="D7E8F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shd w:val="clear" w:color="auto" w:fill="D7E8F5"/>
          </w:tcPr>
          <w:p>
            <w:pPr>
              <w:spacing w:after="0"/>
              <w:rPr>
                <w:sz w:val="9"/>
                <w:szCs w:val="9"/>
                <w:color w:val="auto"/>
              </w:rPr>
            </w:pPr>
          </w:p>
        </w:tc>
        <w:tc>
          <w:tcPr>
            <w:tcW w:w="860" w:type="dxa"/>
            <w:vAlign w:val="bottom"/>
            <w:shd w:val="clear" w:color="auto" w:fill="D7E8F5"/>
          </w:tcPr>
          <w:p>
            <w:pPr>
              <w:jc w:val="right"/>
              <w:ind w:right="106"/>
              <w:spacing w:after="0" w:line="109" w:lineRule="exact"/>
              <w:rPr>
                <w:sz w:val="20"/>
                <w:szCs w:val="20"/>
                <w:color w:val="auto"/>
              </w:rPr>
            </w:pPr>
            <w:r>
              <w:rPr>
                <w:rFonts w:ascii="Arial" w:cs="Arial" w:eastAsia="Arial" w:hAnsi="Arial"/>
                <w:sz w:val="11"/>
                <w:szCs w:val="11"/>
                <w:color w:val="auto"/>
              </w:rPr>
              <w:t>2/27/2023(6)</w:t>
            </w:r>
          </w:p>
        </w:tc>
        <w:tc>
          <w:tcPr>
            <w:tcW w:w="740" w:type="dxa"/>
            <w:vAlign w:val="bottom"/>
            <w:shd w:val="clear" w:color="auto" w:fill="D7E8F5"/>
          </w:tcPr>
          <w:p>
            <w:pPr>
              <w:spacing w:after="0"/>
              <w:rPr>
                <w:sz w:val="9"/>
                <w:szCs w:val="9"/>
                <w:color w:val="auto"/>
              </w:rPr>
            </w:pPr>
          </w:p>
        </w:tc>
        <w:tc>
          <w:tcPr>
            <w:tcW w:w="880" w:type="dxa"/>
            <w:vAlign w:val="bottom"/>
            <w:shd w:val="clear" w:color="auto" w:fill="D7E8F5"/>
          </w:tcPr>
          <w:p>
            <w:pPr>
              <w:spacing w:after="0"/>
              <w:rPr>
                <w:sz w:val="9"/>
                <w:szCs w:val="9"/>
                <w:color w:val="auto"/>
              </w:rPr>
            </w:pPr>
          </w:p>
        </w:tc>
        <w:tc>
          <w:tcPr>
            <w:tcW w:w="680" w:type="dxa"/>
            <w:vAlign w:val="bottom"/>
            <w:shd w:val="clear" w:color="auto" w:fill="D7E8F5"/>
          </w:tcPr>
          <w:p>
            <w:pPr>
              <w:spacing w:after="0"/>
              <w:rPr>
                <w:sz w:val="9"/>
                <w:szCs w:val="9"/>
                <w:color w:val="auto"/>
              </w:rPr>
            </w:pPr>
          </w:p>
        </w:tc>
        <w:tc>
          <w:tcPr>
            <w:tcW w:w="640" w:type="dxa"/>
            <w:vAlign w:val="bottom"/>
            <w:vMerge w:val="continue"/>
            <w:shd w:val="clear" w:color="auto" w:fill="D7E8F5"/>
          </w:tcPr>
          <w:p>
            <w:pPr>
              <w:spacing w:after="0"/>
              <w:rPr>
                <w:sz w:val="9"/>
                <w:szCs w:val="9"/>
                <w:color w:val="auto"/>
              </w:rPr>
            </w:pPr>
          </w:p>
        </w:tc>
        <w:tc>
          <w:tcPr>
            <w:tcW w:w="820" w:type="dxa"/>
            <w:vAlign w:val="bottom"/>
            <w:vMerge w:val="continue"/>
            <w:shd w:val="clear" w:color="auto" w:fill="D7E8F5"/>
          </w:tcPr>
          <w:p>
            <w:pPr>
              <w:spacing w:after="0"/>
              <w:rPr>
                <w:sz w:val="9"/>
                <w:szCs w:val="9"/>
                <w:color w:val="auto"/>
              </w:rPr>
            </w:pPr>
          </w:p>
        </w:tc>
        <w:tc>
          <w:tcPr>
            <w:tcW w:w="180" w:type="dxa"/>
            <w:vAlign w:val="bottom"/>
            <w:shd w:val="clear" w:color="auto" w:fill="D7E8F5"/>
          </w:tcPr>
          <w:p>
            <w:pPr>
              <w:spacing w:after="0"/>
              <w:rPr>
                <w:sz w:val="9"/>
                <w:szCs w:val="9"/>
                <w:color w:val="auto"/>
              </w:rPr>
            </w:pPr>
          </w:p>
        </w:tc>
        <w:tc>
          <w:tcPr>
            <w:tcW w:w="380" w:type="dxa"/>
            <w:vAlign w:val="bottom"/>
            <w:vMerge w:val="continue"/>
            <w:shd w:val="clear" w:color="auto" w:fill="D7E8F5"/>
          </w:tcPr>
          <w:p>
            <w:pPr>
              <w:spacing w:after="0"/>
              <w:rPr>
                <w:sz w:val="9"/>
                <w:szCs w:val="9"/>
                <w:color w:val="auto"/>
              </w:rPr>
            </w:pPr>
          </w:p>
        </w:tc>
        <w:tc>
          <w:tcPr>
            <w:tcW w:w="880" w:type="dxa"/>
            <w:vAlign w:val="bottom"/>
            <w:shd w:val="clear" w:color="auto" w:fill="D7E8F5"/>
          </w:tcPr>
          <w:p>
            <w:pPr>
              <w:spacing w:after="0"/>
              <w:rPr>
                <w:sz w:val="9"/>
                <w:szCs w:val="9"/>
                <w:color w:val="auto"/>
              </w:rPr>
            </w:pPr>
          </w:p>
        </w:tc>
        <w:tc>
          <w:tcPr>
            <w:tcW w:w="680" w:type="dxa"/>
            <w:vAlign w:val="bottom"/>
            <w:shd w:val="clear" w:color="auto" w:fill="D7E8F5"/>
          </w:tcPr>
          <w:p>
            <w:pPr>
              <w:spacing w:after="0"/>
              <w:rPr>
                <w:sz w:val="9"/>
                <w:szCs w:val="9"/>
                <w:color w:val="auto"/>
              </w:rPr>
            </w:pPr>
          </w:p>
        </w:tc>
        <w:tc>
          <w:tcPr>
            <w:tcW w:w="680" w:type="dxa"/>
            <w:vAlign w:val="bottom"/>
            <w:shd w:val="clear" w:color="auto" w:fill="D7E8F5"/>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D7E8F5"/>
            </w:tcBorders>
            <w:shd w:val="clear" w:color="auto" w:fill="D7E8F5"/>
          </w:tcPr>
          <w:p>
            <w:pPr>
              <w:spacing w:after="0"/>
              <w:rPr>
                <w:sz w:val="14"/>
                <w:szCs w:val="14"/>
                <w:color w:val="auto"/>
              </w:rPr>
            </w:pPr>
          </w:p>
        </w:tc>
        <w:tc>
          <w:tcPr>
            <w:tcW w:w="860" w:type="dxa"/>
            <w:vAlign w:val="bottom"/>
            <w:tcBorders>
              <w:bottom w:val="single" w:sz="8" w:color="D7E8F5"/>
            </w:tcBorders>
            <w:shd w:val="clear" w:color="auto" w:fill="D7E8F5"/>
          </w:tcPr>
          <w:p>
            <w:pPr>
              <w:jc w:val="right"/>
              <w:ind w:right="106"/>
              <w:spacing w:after="0"/>
              <w:rPr>
                <w:sz w:val="20"/>
                <w:szCs w:val="20"/>
                <w:color w:val="auto"/>
              </w:rPr>
            </w:pPr>
            <w:r>
              <w:rPr>
                <w:rFonts w:ascii="Arial" w:cs="Arial" w:eastAsia="Arial" w:hAnsi="Arial"/>
                <w:sz w:val="11"/>
                <w:szCs w:val="11"/>
                <w:color w:val="auto"/>
              </w:rPr>
              <w:t>2/27/2023(7)</w:t>
            </w:r>
          </w:p>
        </w:tc>
        <w:tc>
          <w:tcPr>
            <w:tcW w:w="740" w:type="dxa"/>
            <w:vAlign w:val="bottom"/>
            <w:tcBorders>
              <w:bottom w:val="single" w:sz="8" w:color="D7E8F5"/>
            </w:tcBorders>
            <w:shd w:val="clear" w:color="auto" w:fill="D7E8F5"/>
          </w:tcPr>
          <w:p>
            <w:pPr>
              <w:spacing w:after="0"/>
              <w:rPr>
                <w:sz w:val="14"/>
                <w:szCs w:val="14"/>
                <w:color w:val="auto"/>
              </w:rPr>
            </w:pPr>
          </w:p>
        </w:tc>
        <w:tc>
          <w:tcPr>
            <w:tcW w:w="880" w:type="dxa"/>
            <w:vAlign w:val="bottom"/>
            <w:tcBorders>
              <w:bottom w:val="single" w:sz="8" w:color="D7E8F5"/>
            </w:tcBorders>
            <w:shd w:val="clear" w:color="auto" w:fill="D7E8F5"/>
          </w:tcPr>
          <w:p>
            <w:pPr>
              <w:spacing w:after="0"/>
              <w:rPr>
                <w:sz w:val="14"/>
                <w:szCs w:val="14"/>
                <w:color w:val="auto"/>
              </w:rPr>
            </w:pPr>
          </w:p>
        </w:tc>
        <w:tc>
          <w:tcPr>
            <w:tcW w:w="680" w:type="dxa"/>
            <w:vAlign w:val="bottom"/>
            <w:tcBorders>
              <w:bottom w:val="single" w:sz="8" w:color="D7E8F5"/>
            </w:tcBorders>
            <w:shd w:val="clear" w:color="auto" w:fill="D7E8F5"/>
          </w:tcPr>
          <w:p>
            <w:pPr>
              <w:spacing w:after="0"/>
              <w:rPr>
                <w:sz w:val="14"/>
                <w:szCs w:val="14"/>
                <w:color w:val="auto"/>
              </w:rPr>
            </w:pPr>
          </w:p>
        </w:tc>
        <w:tc>
          <w:tcPr>
            <w:tcW w:w="640" w:type="dxa"/>
            <w:vAlign w:val="bottom"/>
            <w:tcBorders>
              <w:bottom w:val="single" w:sz="8" w:color="D7E8F5"/>
            </w:tcBorders>
            <w:shd w:val="clear" w:color="auto" w:fill="D7E8F5"/>
          </w:tcPr>
          <w:p>
            <w:pPr>
              <w:spacing w:after="0"/>
              <w:rPr>
                <w:sz w:val="14"/>
                <w:szCs w:val="14"/>
                <w:color w:val="auto"/>
              </w:rPr>
            </w:pPr>
          </w:p>
        </w:tc>
        <w:tc>
          <w:tcPr>
            <w:tcW w:w="820" w:type="dxa"/>
            <w:vAlign w:val="bottom"/>
            <w:tcBorders>
              <w:bottom w:val="single" w:sz="8" w:color="D7E8F5"/>
            </w:tcBorders>
            <w:shd w:val="clear" w:color="auto" w:fill="D7E8F5"/>
          </w:tcPr>
          <w:p>
            <w:pPr>
              <w:spacing w:after="0"/>
              <w:rPr>
                <w:sz w:val="14"/>
                <w:szCs w:val="14"/>
                <w:color w:val="auto"/>
              </w:rPr>
            </w:pPr>
          </w:p>
        </w:tc>
        <w:tc>
          <w:tcPr>
            <w:tcW w:w="180" w:type="dxa"/>
            <w:vAlign w:val="bottom"/>
            <w:tcBorders>
              <w:bottom w:val="single" w:sz="8" w:color="D7E8F5"/>
            </w:tcBorders>
            <w:shd w:val="clear" w:color="auto" w:fill="D7E8F5"/>
          </w:tcPr>
          <w:p>
            <w:pPr>
              <w:spacing w:after="0"/>
              <w:rPr>
                <w:sz w:val="14"/>
                <w:szCs w:val="14"/>
                <w:color w:val="auto"/>
              </w:rPr>
            </w:pPr>
          </w:p>
        </w:tc>
        <w:tc>
          <w:tcPr>
            <w:tcW w:w="380" w:type="dxa"/>
            <w:vAlign w:val="bottom"/>
            <w:tcBorders>
              <w:bottom w:val="single" w:sz="8" w:color="D7E8F5"/>
            </w:tcBorders>
            <w:shd w:val="clear" w:color="auto" w:fill="D7E8F5"/>
          </w:tcPr>
          <w:p>
            <w:pPr>
              <w:spacing w:after="0"/>
              <w:rPr>
                <w:sz w:val="14"/>
                <w:szCs w:val="14"/>
                <w:color w:val="auto"/>
              </w:rPr>
            </w:pPr>
          </w:p>
        </w:tc>
        <w:tc>
          <w:tcPr>
            <w:tcW w:w="880" w:type="dxa"/>
            <w:vAlign w:val="bottom"/>
            <w:tcBorders>
              <w:bottom w:val="single" w:sz="8" w:color="D7E8F5"/>
            </w:tcBorders>
            <w:shd w:val="clear" w:color="auto" w:fill="D7E8F5"/>
          </w:tcPr>
          <w:p>
            <w:pPr>
              <w:jc w:val="right"/>
              <w:ind w:right="67"/>
              <w:spacing w:after="0"/>
              <w:rPr>
                <w:sz w:val="20"/>
                <w:szCs w:val="20"/>
                <w:color w:val="auto"/>
              </w:rPr>
            </w:pPr>
            <w:r>
              <w:rPr>
                <w:rFonts w:ascii="Arial" w:cs="Arial" w:eastAsia="Arial" w:hAnsi="Arial"/>
                <w:sz w:val="11"/>
                <w:szCs w:val="11"/>
                <w:color w:val="auto"/>
              </w:rPr>
              <w:t>2,632</w:t>
            </w:r>
          </w:p>
        </w:tc>
        <w:tc>
          <w:tcPr>
            <w:tcW w:w="680" w:type="dxa"/>
            <w:vAlign w:val="bottom"/>
            <w:tcBorders>
              <w:bottom w:val="single" w:sz="8" w:color="D7E8F5"/>
            </w:tcBorders>
            <w:shd w:val="clear" w:color="auto" w:fill="D7E8F5"/>
          </w:tcPr>
          <w:p>
            <w:pPr>
              <w:spacing w:after="0"/>
              <w:rPr>
                <w:sz w:val="14"/>
                <w:szCs w:val="14"/>
                <w:color w:val="auto"/>
              </w:rPr>
            </w:pPr>
          </w:p>
        </w:tc>
        <w:tc>
          <w:tcPr>
            <w:tcW w:w="680" w:type="dxa"/>
            <w:vAlign w:val="bottom"/>
            <w:tcBorders>
              <w:bottom w:val="single" w:sz="8" w:color="D7E8F5"/>
            </w:tcBorders>
            <w:shd w:val="clear" w:color="auto" w:fill="D7E8F5"/>
          </w:tcPr>
          <w:p>
            <w:pPr>
              <w:jc w:val="right"/>
              <w:ind w:right="47"/>
              <w:spacing w:after="0"/>
              <w:rPr>
                <w:sz w:val="20"/>
                <w:szCs w:val="20"/>
                <w:color w:val="auto"/>
              </w:rPr>
            </w:pPr>
            <w:r>
              <w:rPr>
                <w:rFonts w:ascii="Arial" w:cs="Arial" w:eastAsia="Arial" w:hAnsi="Arial"/>
                <w:sz w:val="11"/>
                <w:szCs w:val="11"/>
                <w:color w:val="auto"/>
              </w:rPr>
              <w:t>500,110</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1"/>
                <w:szCs w:val="11"/>
                <w:color w:val="auto"/>
              </w:rPr>
              <w:t>  Akshay K. Vaishnaw, M.D., Ph.D.</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214,503</w:t>
            </w:r>
          </w:p>
        </w:tc>
        <w:tc>
          <w:tcPr>
            <w:tcW w:w="880" w:type="dxa"/>
            <w:vAlign w:val="bottom"/>
          </w:tcPr>
          <w:p>
            <w:pPr>
              <w:jc w:val="right"/>
              <w:ind w:right="126"/>
              <w:spacing w:after="0"/>
              <w:rPr>
                <w:sz w:val="20"/>
                <w:szCs w:val="20"/>
                <w:color w:val="auto"/>
              </w:rPr>
            </w:pPr>
            <w:r>
              <w:rPr>
                <w:rFonts w:ascii="Arial" w:cs="Arial" w:eastAsia="Arial" w:hAnsi="Arial"/>
                <w:sz w:val="11"/>
                <w:szCs w:val="11"/>
                <w:color w:val="auto"/>
              </w:rPr>
              <w:t>429,005</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643,510</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2/27/2023(5)</w:t>
            </w: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ind w:right="67"/>
              <w:spacing w:after="0" w:line="122" w:lineRule="exact"/>
              <w:rPr>
                <w:sz w:val="20"/>
                <w:szCs w:val="20"/>
                <w:color w:val="auto"/>
              </w:rPr>
            </w:pPr>
            <w:r>
              <w:rPr>
                <w:rFonts w:ascii="Arial" w:cs="Arial" w:eastAsia="Arial" w:hAnsi="Arial"/>
                <w:sz w:val="11"/>
                <w:szCs w:val="11"/>
                <w:color w:val="auto"/>
              </w:rPr>
              <w:t>11,986</w:t>
            </w:r>
          </w:p>
        </w:tc>
        <w:tc>
          <w:tcPr>
            <w:tcW w:w="680" w:type="dxa"/>
            <w:vAlign w:val="bottom"/>
          </w:tcPr>
          <w:p>
            <w:pPr>
              <w:jc w:val="right"/>
              <w:ind w:right="48"/>
              <w:spacing w:after="0" w:line="122" w:lineRule="exact"/>
              <w:rPr>
                <w:sz w:val="20"/>
                <w:szCs w:val="20"/>
                <w:color w:val="auto"/>
              </w:rPr>
            </w:pPr>
            <w:r>
              <w:rPr>
                <w:rFonts w:ascii="Arial" w:cs="Arial" w:eastAsia="Arial" w:hAnsi="Arial"/>
                <w:sz w:val="11"/>
                <w:szCs w:val="11"/>
                <w:color w:val="auto"/>
              </w:rPr>
              <w:t>190.01</w:t>
            </w:r>
          </w:p>
        </w:tc>
        <w:tc>
          <w:tcPr>
            <w:tcW w:w="680" w:type="dxa"/>
            <w:vAlign w:val="bottom"/>
          </w:tcPr>
          <w:p>
            <w:pPr>
              <w:jc w:val="right"/>
              <w:ind w:right="47"/>
              <w:spacing w:after="0" w:line="122" w:lineRule="exact"/>
              <w:rPr>
                <w:sz w:val="20"/>
                <w:szCs w:val="20"/>
                <w:color w:val="auto"/>
              </w:rPr>
            </w:pPr>
            <w:r>
              <w:rPr>
                <w:rFonts w:ascii="Arial" w:cs="Arial" w:eastAsia="Arial" w:hAnsi="Arial"/>
                <w:sz w:val="11"/>
                <w:szCs w:val="11"/>
                <w:color w:val="auto"/>
              </w:rPr>
              <w:t>1,098,050</w:t>
            </w:r>
          </w:p>
        </w:tc>
        <w:tc>
          <w:tcPr>
            <w:tcW w:w="0" w:type="dxa"/>
            <w:vAlign w:val="bottom"/>
          </w:tcPr>
          <w:p>
            <w:pPr>
              <w:spacing w:after="0"/>
              <w:rPr>
                <w:sz w:val="1"/>
                <w:szCs w:val="1"/>
                <w:color w:val="auto"/>
              </w:rPr>
            </w:pPr>
          </w:p>
        </w:tc>
      </w:tr>
      <w:tr>
        <w:trPr>
          <w:trHeight w:val="121"/>
        </w:trPr>
        <w:tc>
          <w:tcPr>
            <w:tcW w:w="36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2/27/2023(6)</w:t>
            </w: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11,579</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w w:val="94"/>
              </w:rPr>
              <w:t>11,579</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right"/>
              <w:ind w:right="47"/>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600" w:type="dxa"/>
            <w:vAlign w:val="bottom"/>
            <w:tcBorders>
              <w:bottom w:val="single" w:sz="8" w:color="2275B5"/>
            </w:tcBorders>
          </w:tcPr>
          <w:p>
            <w:pPr>
              <w:spacing w:after="0"/>
              <w:rPr>
                <w:sz w:val="13"/>
                <w:szCs w:val="13"/>
                <w:color w:val="auto"/>
              </w:rPr>
            </w:pPr>
          </w:p>
        </w:tc>
        <w:tc>
          <w:tcPr>
            <w:tcW w:w="860" w:type="dxa"/>
            <w:vAlign w:val="bottom"/>
            <w:tcBorders>
              <w:bottom w:val="single" w:sz="8" w:color="2275B5"/>
            </w:tcBorders>
          </w:tcPr>
          <w:p>
            <w:pPr>
              <w:jc w:val="right"/>
              <w:spacing w:after="0"/>
              <w:rPr>
                <w:sz w:val="20"/>
                <w:szCs w:val="20"/>
                <w:color w:val="auto"/>
              </w:rPr>
            </w:pPr>
            <w:r>
              <w:rPr>
                <w:rFonts w:ascii="Arial" w:cs="Arial" w:eastAsia="Arial" w:hAnsi="Arial"/>
                <w:sz w:val="11"/>
                <w:szCs w:val="11"/>
                <w:color w:val="auto"/>
              </w:rPr>
              <w:t>2/27/2023(7)</w:t>
            </w:r>
          </w:p>
        </w:tc>
        <w:tc>
          <w:tcPr>
            <w:tcW w:w="740" w:type="dxa"/>
            <w:vAlign w:val="bottom"/>
            <w:tcBorders>
              <w:bottom w:val="single" w:sz="8" w:color="2275B5"/>
            </w:tcBorders>
          </w:tcPr>
          <w:p>
            <w:pPr>
              <w:spacing w:after="0"/>
              <w:rPr>
                <w:sz w:val="13"/>
                <w:szCs w:val="13"/>
                <w:color w:val="auto"/>
              </w:rPr>
            </w:pPr>
          </w:p>
        </w:tc>
        <w:tc>
          <w:tcPr>
            <w:tcW w:w="880" w:type="dxa"/>
            <w:vAlign w:val="bottom"/>
            <w:tcBorders>
              <w:bottom w:val="single" w:sz="8" w:color="2275B5"/>
            </w:tcBorders>
          </w:tcPr>
          <w:p>
            <w:pPr>
              <w:spacing w:after="0"/>
              <w:rPr>
                <w:sz w:val="13"/>
                <w:szCs w:val="13"/>
                <w:color w:val="auto"/>
              </w:rPr>
            </w:pPr>
          </w:p>
        </w:tc>
        <w:tc>
          <w:tcPr>
            <w:tcW w:w="680" w:type="dxa"/>
            <w:vAlign w:val="bottom"/>
            <w:tcBorders>
              <w:bottom w:val="single" w:sz="8" w:color="2275B5"/>
            </w:tcBorders>
          </w:tcPr>
          <w:p>
            <w:pPr>
              <w:spacing w:after="0"/>
              <w:rPr>
                <w:sz w:val="13"/>
                <w:szCs w:val="13"/>
                <w:color w:val="auto"/>
              </w:rPr>
            </w:pPr>
          </w:p>
        </w:tc>
        <w:tc>
          <w:tcPr>
            <w:tcW w:w="640" w:type="dxa"/>
            <w:vAlign w:val="bottom"/>
            <w:tcBorders>
              <w:bottom w:val="single" w:sz="8" w:color="2275B5"/>
            </w:tcBorders>
          </w:tcPr>
          <w:p>
            <w:pPr>
              <w:spacing w:after="0"/>
              <w:rPr>
                <w:sz w:val="13"/>
                <w:szCs w:val="13"/>
                <w:color w:val="auto"/>
              </w:rPr>
            </w:pPr>
          </w:p>
        </w:tc>
        <w:tc>
          <w:tcPr>
            <w:tcW w:w="820" w:type="dxa"/>
            <w:vAlign w:val="bottom"/>
            <w:tcBorders>
              <w:bottom w:val="single" w:sz="8" w:color="2275B5"/>
            </w:tcBorders>
          </w:tcPr>
          <w:p>
            <w:pPr>
              <w:spacing w:after="0"/>
              <w:rPr>
                <w:sz w:val="13"/>
                <w:szCs w:val="13"/>
                <w:color w:val="auto"/>
              </w:rPr>
            </w:pPr>
          </w:p>
        </w:tc>
        <w:tc>
          <w:tcPr>
            <w:tcW w:w="180" w:type="dxa"/>
            <w:vAlign w:val="bottom"/>
            <w:tcBorders>
              <w:bottom w:val="single" w:sz="8" w:color="2275B5"/>
            </w:tcBorders>
          </w:tcPr>
          <w:p>
            <w:pPr>
              <w:spacing w:after="0"/>
              <w:rPr>
                <w:sz w:val="13"/>
                <w:szCs w:val="13"/>
                <w:color w:val="auto"/>
              </w:rPr>
            </w:pPr>
          </w:p>
        </w:tc>
        <w:tc>
          <w:tcPr>
            <w:tcW w:w="380" w:type="dxa"/>
            <w:vAlign w:val="bottom"/>
            <w:tcBorders>
              <w:bottom w:val="single" w:sz="8" w:color="2275B5"/>
            </w:tcBorders>
          </w:tcPr>
          <w:p>
            <w:pPr>
              <w:spacing w:after="0"/>
              <w:rPr>
                <w:sz w:val="13"/>
                <w:szCs w:val="13"/>
                <w:color w:val="auto"/>
              </w:rPr>
            </w:pPr>
          </w:p>
        </w:tc>
        <w:tc>
          <w:tcPr>
            <w:tcW w:w="880" w:type="dxa"/>
            <w:vAlign w:val="bottom"/>
            <w:tcBorders>
              <w:bottom w:val="single" w:sz="8" w:color="2275B5"/>
            </w:tcBorders>
          </w:tcPr>
          <w:p>
            <w:pPr>
              <w:jc w:val="right"/>
              <w:ind w:right="67"/>
              <w:spacing w:after="0"/>
              <w:rPr>
                <w:sz w:val="20"/>
                <w:szCs w:val="20"/>
                <w:color w:val="auto"/>
              </w:rPr>
            </w:pPr>
            <w:r>
              <w:rPr>
                <w:rFonts w:ascii="Arial" w:cs="Arial" w:eastAsia="Arial" w:hAnsi="Arial"/>
                <w:sz w:val="11"/>
                <w:szCs w:val="11"/>
                <w:color w:val="auto"/>
              </w:rPr>
              <w:t>5,790</w:t>
            </w:r>
          </w:p>
        </w:tc>
        <w:tc>
          <w:tcPr>
            <w:tcW w:w="680" w:type="dxa"/>
            <w:vAlign w:val="bottom"/>
            <w:tcBorders>
              <w:bottom w:val="single" w:sz="8" w:color="2275B5"/>
            </w:tcBorders>
          </w:tcPr>
          <w:p>
            <w:pPr>
              <w:spacing w:after="0"/>
              <w:rPr>
                <w:sz w:val="13"/>
                <w:szCs w:val="13"/>
                <w:color w:val="auto"/>
              </w:rPr>
            </w:pPr>
          </w:p>
        </w:tc>
        <w:tc>
          <w:tcPr>
            <w:tcW w:w="680" w:type="dxa"/>
            <w:vAlign w:val="bottom"/>
            <w:tcBorders>
              <w:bottom w:val="single" w:sz="8" w:color="2275B5"/>
            </w:tcBorders>
          </w:tcPr>
          <w:p>
            <w:pPr>
              <w:jc w:val="right"/>
              <w:ind w:right="47"/>
              <w:spacing w:after="0"/>
              <w:rPr>
                <w:sz w:val="20"/>
                <w:szCs w:val="20"/>
                <w:color w:val="auto"/>
              </w:rPr>
            </w:pPr>
            <w:r>
              <w:rPr>
                <w:rFonts w:ascii="Arial" w:cs="Arial" w:eastAsia="Arial" w:hAnsi="Arial"/>
                <w:sz w:val="11"/>
                <w:szCs w:val="11"/>
                <w:color w:val="auto"/>
              </w:rPr>
              <w:t>1,100,160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760" w:right="40" w:hanging="536"/>
        <w:spacing w:after="0" w:line="263" w:lineRule="auto"/>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shown in the threshold, target and maximum columns reflect the minimum, target and maximum amounts payable, respectively, under our AIP, which is described above in the “Compensation Discussion and Analysis” under the heading “Short-Term Incentives—2023 Annual Incentive Program.” The actual amounts paid to each NEO can be found above in the Summary Compensation Table under the column entitled Non-Equity Incentive Plan Compensation.</w:t>
      </w:r>
    </w:p>
    <w:p>
      <w:pPr>
        <w:spacing w:after="0" w:line="199" w:lineRule="exact"/>
        <w:rPr>
          <w:rFonts w:ascii="Arial" w:cs="Arial" w:eastAsia="Arial" w:hAnsi="Arial"/>
          <w:sz w:val="14"/>
          <w:szCs w:val="14"/>
          <w:color w:val="auto"/>
        </w:rPr>
      </w:pPr>
    </w:p>
    <w:p>
      <w:pPr>
        <w:ind w:left="760" w:right="400" w:hanging="536"/>
        <w:spacing w:after="0" w:line="285" w:lineRule="auto"/>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shown in the threshold, target and maximum columns reflect the minimum, target and maximum potential future payout range for equity awards granted with performance-based vesting milestones.</w:t>
      </w:r>
    </w:p>
    <w:p>
      <w:pPr>
        <w:spacing w:after="0" w:line="184" w:lineRule="exact"/>
        <w:rPr>
          <w:rFonts w:ascii="Arial" w:cs="Arial" w:eastAsia="Arial" w:hAnsi="Arial"/>
          <w:sz w:val="14"/>
          <w:szCs w:val="14"/>
          <w:color w:val="auto"/>
        </w:rPr>
      </w:pPr>
    </w:p>
    <w:p>
      <w:pPr>
        <w:ind w:left="760" w:hanging="53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exercise price of the option awards is equal to the closing price of our common stock on the Nasdaq Global Select Market on February 27, 2023.</w:t>
      </w:r>
    </w:p>
    <w:p>
      <w:pPr>
        <w:spacing w:after="0" w:line="244" w:lineRule="exact"/>
        <w:rPr>
          <w:rFonts w:ascii="Arial" w:cs="Arial" w:eastAsia="Arial" w:hAnsi="Arial"/>
          <w:sz w:val="14"/>
          <w:szCs w:val="14"/>
          <w:color w:val="auto"/>
        </w:rPr>
      </w:pPr>
    </w:p>
    <w:p>
      <w:pPr>
        <w:ind w:left="760" w:right="60" w:hanging="536"/>
        <w:spacing w:after="0" w:line="247" w:lineRule="auto"/>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grant date fair value is calculated in accordance with FASB ASC Topic 718 and represents the value of awards granted during the year. In accordance with SEC rules, the grant date fair value for RSUs is calculated by multiplying the number of shares subject to the RSU by $190.01, which was the closing price of our common stock on the Nasdaq Global Select Market on the date of grant. For PSUs, the grant date fair value is calculated based on the probable outcome of the performance conditions as of the grant date. For PSUs granted during 2023 we determined that, as of the date of grant, it was not probable, as defined under applicable accounting guidance, that any of the performance conditions would be achieved and assigned a grant date fair value of $0. The grant date fair value for stock option awards is calculated based on the assumptions included in Note 11 of our audited consolidated financial statements for the year ended December 31, 2023 included in our Annual Report on Form 10-K, filed with the SEC on February 15, 2024. The amounts reported reflect our accounting expense, excluding the effect of estimated forfeitures, and may not represent the amounts our NEOs will actually realize from the awards.</w:t>
      </w:r>
    </w:p>
    <w:p>
      <w:pPr>
        <w:spacing w:after="0" w:line="213" w:lineRule="exact"/>
        <w:rPr>
          <w:rFonts w:ascii="Arial" w:cs="Arial" w:eastAsia="Arial" w:hAnsi="Arial"/>
          <w:sz w:val="14"/>
          <w:szCs w:val="14"/>
          <w:color w:val="auto"/>
        </w:rPr>
      </w:pPr>
    </w:p>
    <w:p>
      <w:pPr>
        <w:ind w:left="760" w:right="20" w:hanging="536"/>
        <w:spacing w:after="0" w:line="263" w:lineRule="auto"/>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portion of the annual equity award granted in 2023 in the form of time-based stock option awards. The time-based portion of the option awards vest as to 25% of the shares on the first anniversary of the grant date and as to the remaining shares ratably at the end of each three-month period thereafter over the following thirty-six months, provided that the NEO continues to be employed with us through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760" w:right="20" w:hanging="536"/>
        <w:spacing w:after="0" w:line="252" w:lineRule="auto"/>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portion of the annual equity award granted in 2023 in the form of PSUs. The shares subject to the PSUs granted in February 2023 vest upon the achieve of three underlying performance-based vesting conditions, with 30% of the shares subject to the PSU vesting upon achievement of one of the performance conditions, 30% of the shares subject to the PSU vesting upon achievement of the second of the performance conditions, and 40% of the shares subject to the PSU vesting upon achievement of the third of the performance conditions. As of the grant date, none of the three vesting conditions were considered probable, as defined under applicable accounting guidance.</w:t>
      </w:r>
    </w:p>
    <w:p>
      <w:pPr>
        <w:spacing w:after="0" w:line="207" w:lineRule="exact"/>
        <w:rPr>
          <w:rFonts w:ascii="Arial" w:cs="Arial" w:eastAsia="Arial" w:hAnsi="Arial"/>
          <w:sz w:val="14"/>
          <w:szCs w:val="14"/>
          <w:color w:val="auto"/>
        </w:rPr>
      </w:pPr>
    </w:p>
    <w:p>
      <w:pPr>
        <w:ind w:left="760" w:right="140" w:hanging="536"/>
        <w:spacing w:after="0" w:line="285" w:lineRule="auto"/>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portion of the annual equity award granted in 2023 the form of RSUs. The shares subject to the RSU vest ratably on each of the first, second and third anniversaries of the grant date, provided that the NEO continues to be employed with us through each vesting date.</w:t>
      </w:r>
    </w:p>
    <w:p>
      <w:pPr>
        <w:spacing w:after="0" w:line="184" w:lineRule="exact"/>
        <w:rPr>
          <w:rFonts w:ascii="Arial" w:cs="Arial" w:eastAsia="Arial" w:hAnsi="Arial"/>
          <w:sz w:val="14"/>
          <w:szCs w:val="14"/>
          <w:color w:val="auto"/>
        </w:rPr>
      </w:pPr>
    </w:p>
    <w:p>
      <w:pPr>
        <w:ind w:left="760" w:right="140" w:hanging="536"/>
        <w:spacing w:after="0" w:line="263" w:lineRule="auto"/>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Ms. Franchini’s employment with us terminated effective March 1, 2024. Under the terms of the letter agreement we entered into with Ms. Franchini in connection with her separation from employment, her outstanding equity awards will continue to vest in accordance with their terms until the end of the consulting period on February 28, 2025, after which date her unvested awards will lapse.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Information Relating to Equity Awards and Holdings</w:t>
      </w:r>
    </w:p>
    <w:p>
      <w:pPr>
        <w:spacing w:after="0" w:line="204" w:lineRule="exact"/>
        <w:rPr>
          <w:sz w:val="20"/>
          <w:szCs w:val="20"/>
          <w:color w:val="auto"/>
        </w:rPr>
      </w:pPr>
    </w:p>
    <w:p>
      <w:pPr>
        <w:ind w:left="120" w:right="720" w:firstLine="771"/>
        <w:spacing w:after="0" w:line="257" w:lineRule="auto"/>
        <w:rPr>
          <w:sz w:val="20"/>
          <w:szCs w:val="20"/>
          <w:color w:val="auto"/>
        </w:rPr>
      </w:pPr>
      <w:r>
        <w:rPr>
          <w:rFonts w:ascii="Arial" w:cs="Arial" w:eastAsia="Arial" w:hAnsi="Arial"/>
          <w:sz w:val="20"/>
          <w:szCs w:val="20"/>
          <w:color w:val="auto"/>
        </w:rPr>
        <w:t>The following table sets forth information concerning outstanding equity awards held by each of our NEOs on December 31, 2023.</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D3060"/>
        </w:rPr>
        <w:t>Outstanding Equity Awards at Fiscal Year-End for 2023</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2540" w:type="dxa"/>
            <w:vAlign w:val="bottom"/>
            <w:shd w:val="clear" w:color="auto" w:fill="1D3060"/>
          </w:tcPr>
          <w:p>
            <w:pPr>
              <w:spacing w:after="0"/>
              <w:rPr>
                <w:sz w:val="19"/>
                <w:szCs w:val="19"/>
                <w:color w:val="auto"/>
              </w:rPr>
            </w:pPr>
          </w:p>
        </w:tc>
        <w:tc>
          <w:tcPr>
            <w:tcW w:w="180" w:type="dxa"/>
            <w:vAlign w:val="bottom"/>
            <w:shd w:val="clear" w:color="auto" w:fill="1D3060"/>
          </w:tcPr>
          <w:p>
            <w:pPr>
              <w:spacing w:after="0"/>
              <w:rPr>
                <w:sz w:val="19"/>
                <w:szCs w:val="19"/>
                <w:color w:val="auto"/>
              </w:rPr>
            </w:pPr>
          </w:p>
        </w:tc>
        <w:tc>
          <w:tcPr>
            <w:tcW w:w="720" w:type="dxa"/>
            <w:vAlign w:val="bottom"/>
            <w:shd w:val="clear" w:color="auto" w:fill="1D3060"/>
          </w:tcPr>
          <w:p>
            <w:pPr>
              <w:spacing w:after="0"/>
              <w:rPr>
                <w:sz w:val="19"/>
                <w:szCs w:val="19"/>
                <w:color w:val="auto"/>
              </w:rPr>
            </w:pPr>
          </w:p>
        </w:tc>
        <w:tc>
          <w:tcPr>
            <w:tcW w:w="220" w:type="dxa"/>
            <w:vAlign w:val="bottom"/>
            <w:shd w:val="clear" w:color="auto" w:fill="1D3060"/>
          </w:tcPr>
          <w:p>
            <w:pPr>
              <w:spacing w:after="0"/>
              <w:rPr>
                <w:sz w:val="19"/>
                <w:szCs w:val="19"/>
                <w:color w:val="auto"/>
              </w:rPr>
            </w:pPr>
          </w:p>
        </w:tc>
        <w:tc>
          <w:tcPr>
            <w:tcW w:w="900" w:type="dxa"/>
            <w:vAlign w:val="bottom"/>
            <w:shd w:val="clear" w:color="auto" w:fill="1D3060"/>
          </w:tcPr>
          <w:p>
            <w:pPr>
              <w:spacing w:after="0"/>
              <w:rPr>
                <w:sz w:val="19"/>
                <w:szCs w:val="19"/>
                <w:color w:val="auto"/>
              </w:rPr>
            </w:pPr>
          </w:p>
        </w:tc>
        <w:tc>
          <w:tcPr>
            <w:tcW w:w="240" w:type="dxa"/>
            <w:vAlign w:val="bottom"/>
            <w:shd w:val="clear" w:color="auto" w:fill="1D3060"/>
          </w:tcPr>
          <w:p>
            <w:pPr>
              <w:spacing w:after="0"/>
              <w:rPr>
                <w:sz w:val="19"/>
                <w:szCs w:val="19"/>
                <w:color w:val="auto"/>
              </w:rPr>
            </w:pPr>
          </w:p>
        </w:tc>
        <w:tc>
          <w:tcPr>
            <w:tcW w:w="1660" w:type="dxa"/>
            <w:vAlign w:val="bottom"/>
            <w:gridSpan w:val="2"/>
            <w:shd w:val="clear" w:color="auto" w:fill="1D3060"/>
          </w:tcPr>
          <w:p>
            <w:pPr>
              <w:jc w:val="right"/>
              <w:ind w:right="437"/>
              <w:spacing w:after="0"/>
              <w:rPr>
                <w:sz w:val="20"/>
                <w:szCs w:val="20"/>
                <w:color w:val="auto"/>
              </w:rPr>
            </w:pPr>
            <w:r>
              <w:rPr>
                <w:rFonts w:ascii="Arial" w:cs="Arial" w:eastAsia="Arial" w:hAnsi="Arial"/>
                <w:sz w:val="13"/>
                <w:szCs w:val="13"/>
                <w:b w:val="1"/>
                <w:bCs w:val="1"/>
                <w:color w:val="FFFFFF"/>
              </w:rPr>
              <w:t>Option Awards (1)</w:t>
            </w:r>
          </w:p>
        </w:tc>
        <w:tc>
          <w:tcPr>
            <w:tcW w:w="860" w:type="dxa"/>
            <w:vAlign w:val="bottom"/>
            <w:shd w:val="clear" w:color="auto" w:fill="1D3060"/>
          </w:tcPr>
          <w:p>
            <w:pPr>
              <w:spacing w:after="0"/>
              <w:rPr>
                <w:sz w:val="19"/>
                <w:szCs w:val="19"/>
                <w:color w:val="auto"/>
              </w:rPr>
            </w:pPr>
          </w:p>
        </w:tc>
        <w:tc>
          <w:tcPr>
            <w:tcW w:w="1060" w:type="dxa"/>
            <w:vAlign w:val="bottom"/>
            <w:shd w:val="clear" w:color="auto" w:fill="1D3060"/>
          </w:tcPr>
          <w:p>
            <w:pPr>
              <w:spacing w:after="0"/>
              <w:rPr>
                <w:sz w:val="19"/>
                <w:szCs w:val="19"/>
                <w:color w:val="auto"/>
              </w:rPr>
            </w:pPr>
          </w:p>
        </w:tc>
        <w:tc>
          <w:tcPr>
            <w:tcW w:w="1860" w:type="dxa"/>
            <w:vAlign w:val="bottom"/>
            <w:gridSpan w:val="2"/>
            <w:shd w:val="clear" w:color="auto" w:fill="1D3060"/>
          </w:tcPr>
          <w:p>
            <w:pPr>
              <w:jc w:val="right"/>
              <w:ind w:right="497"/>
              <w:spacing w:after="0"/>
              <w:rPr>
                <w:sz w:val="20"/>
                <w:szCs w:val="20"/>
                <w:color w:val="auto"/>
              </w:rPr>
            </w:pPr>
            <w:r>
              <w:rPr>
                <w:rFonts w:ascii="Arial" w:cs="Arial" w:eastAsia="Arial" w:hAnsi="Arial"/>
                <w:sz w:val="13"/>
                <w:szCs w:val="13"/>
                <w:b w:val="1"/>
                <w:bCs w:val="1"/>
                <w:color w:val="FFFFFF"/>
              </w:rPr>
              <w:t>Stock Awards (2)</w:t>
            </w:r>
          </w:p>
        </w:tc>
        <w:tc>
          <w:tcPr>
            <w:tcW w:w="780" w:type="dxa"/>
            <w:vAlign w:val="bottom"/>
            <w:shd w:val="clear" w:color="auto" w:fill="1D3060"/>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shd w:val="clear" w:color="auto" w:fill="1D3060"/>
          </w:tcPr>
          <w:p>
            <w:pPr>
              <w:spacing w:after="0"/>
              <w:rPr>
                <w:sz w:val="16"/>
                <w:szCs w:val="16"/>
                <w:color w:val="auto"/>
              </w:rPr>
            </w:pPr>
          </w:p>
        </w:tc>
        <w:tc>
          <w:tcPr>
            <w:tcW w:w="180" w:type="dxa"/>
            <w:vAlign w:val="bottom"/>
            <w:shd w:val="clear" w:color="auto" w:fill="1D3060"/>
          </w:tcPr>
          <w:p>
            <w:pPr>
              <w:spacing w:after="0"/>
              <w:rPr>
                <w:sz w:val="16"/>
                <w:szCs w:val="16"/>
                <w:color w:val="auto"/>
              </w:rPr>
            </w:pPr>
          </w:p>
        </w:tc>
        <w:tc>
          <w:tcPr>
            <w:tcW w:w="720" w:type="dxa"/>
            <w:vAlign w:val="bottom"/>
            <w:shd w:val="clear" w:color="auto" w:fill="1D3060"/>
          </w:tcPr>
          <w:p>
            <w:pPr>
              <w:spacing w:after="0"/>
              <w:rPr>
                <w:sz w:val="16"/>
                <w:szCs w:val="16"/>
                <w:color w:val="auto"/>
              </w:rPr>
            </w:pPr>
          </w:p>
        </w:tc>
        <w:tc>
          <w:tcPr>
            <w:tcW w:w="220" w:type="dxa"/>
            <w:vAlign w:val="bottom"/>
            <w:shd w:val="clear" w:color="auto" w:fill="1D3060"/>
          </w:tcPr>
          <w:p>
            <w:pPr>
              <w:spacing w:after="0"/>
              <w:rPr>
                <w:sz w:val="16"/>
                <w:szCs w:val="16"/>
                <w:color w:val="auto"/>
              </w:rPr>
            </w:pPr>
          </w:p>
        </w:tc>
        <w:tc>
          <w:tcPr>
            <w:tcW w:w="900" w:type="dxa"/>
            <w:vAlign w:val="bottom"/>
            <w:shd w:val="clear" w:color="auto" w:fill="1D3060"/>
          </w:tcPr>
          <w:p>
            <w:pPr>
              <w:spacing w:after="0"/>
              <w:rPr>
                <w:sz w:val="16"/>
                <w:szCs w:val="16"/>
                <w:color w:val="auto"/>
              </w:rPr>
            </w:pPr>
          </w:p>
        </w:tc>
        <w:tc>
          <w:tcPr>
            <w:tcW w:w="240" w:type="dxa"/>
            <w:vAlign w:val="bottom"/>
            <w:shd w:val="clear" w:color="auto" w:fill="1D3060"/>
          </w:tcPr>
          <w:p>
            <w:pPr>
              <w:spacing w:after="0"/>
              <w:rPr>
                <w:sz w:val="16"/>
                <w:szCs w:val="16"/>
                <w:color w:val="auto"/>
              </w:rPr>
            </w:pPr>
          </w:p>
        </w:tc>
        <w:tc>
          <w:tcPr>
            <w:tcW w:w="820" w:type="dxa"/>
            <w:vAlign w:val="bottom"/>
            <w:shd w:val="clear" w:color="auto" w:fill="1D3060"/>
          </w:tcPr>
          <w:p>
            <w:pPr>
              <w:spacing w:after="0"/>
              <w:rPr>
                <w:sz w:val="16"/>
                <w:szCs w:val="16"/>
                <w:color w:val="auto"/>
              </w:rPr>
            </w:pPr>
          </w:p>
        </w:tc>
        <w:tc>
          <w:tcPr>
            <w:tcW w:w="840" w:type="dxa"/>
            <w:vAlign w:val="bottom"/>
            <w:shd w:val="clear" w:color="auto" w:fill="1D3060"/>
          </w:tcPr>
          <w:p>
            <w:pPr>
              <w:spacing w:after="0"/>
              <w:rPr>
                <w:sz w:val="16"/>
                <w:szCs w:val="16"/>
                <w:color w:val="auto"/>
              </w:rPr>
            </w:pPr>
          </w:p>
        </w:tc>
        <w:tc>
          <w:tcPr>
            <w:tcW w:w="860" w:type="dxa"/>
            <w:vAlign w:val="bottom"/>
            <w:shd w:val="clear" w:color="auto" w:fill="1D3060"/>
          </w:tcPr>
          <w:p>
            <w:pPr>
              <w:spacing w:after="0"/>
              <w:rPr>
                <w:sz w:val="16"/>
                <w:szCs w:val="16"/>
                <w:color w:val="auto"/>
              </w:rPr>
            </w:pPr>
          </w:p>
        </w:tc>
        <w:tc>
          <w:tcPr>
            <w:tcW w:w="1060" w:type="dxa"/>
            <w:vAlign w:val="bottom"/>
            <w:shd w:val="clear" w:color="auto" w:fill="1D3060"/>
          </w:tcPr>
          <w:p>
            <w:pPr>
              <w:spacing w:after="0"/>
              <w:rPr>
                <w:sz w:val="16"/>
                <w:szCs w:val="16"/>
                <w:color w:val="auto"/>
              </w:rPr>
            </w:pPr>
          </w:p>
        </w:tc>
        <w:tc>
          <w:tcPr>
            <w:tcW w:w="860" w:type="dxa"/>
            <w:vAlign w:val="bottom"/>
            <w:shd w:val="clear" w:color="auto" w:fill="1D3060"/>
          </w:tcPr>
          <w:p>
            <w:pPr>
              <w:spacing w:after="0"/>
              <w:rPr>
                <w:sz w:val="16"/>
                <w:szCs w:val="16"/>
                <w:color w:val="auto"/>
              </w:rPr>
            </w:pPr>
          </w:p>
        </w:tc>
        <w:tc>
          <w:tcPr>
            <w:tcW w:w="1000" w:type="dxa"/>
            <w:vAlign w:val="bottom"/>
            <w:vMerge w:val="restart"/>
            <w:shd w:val="clear" w:color="auto" w:fill="1D3060"/>
          </w:tcPr>
          <w:p>
            <w:pPr>
              <w:jc w:val="center"/>
              <w:ind w:right="117"/>
              <w:spacing w:after="0"/>
              <w:rPr>
                <w:sz w:val="20"/>
                <w:szCs w:val="20"/>
                <w:color w:val="auto"/>
              </w:rPr>
            </w:pPr>
            <w:r>
              <w:rPr>
                <w:rFonts w:ascii="Arial" w:cs="Arial" w:eastAsia="Arial" w:hAnsi="Arial"/>
                <w:sz w:val="13"/>
                <w:szCs w:val="13"/>
                <w:b w:val="1"/>
                <w:bCs w:val="1"/>
                <w:color w:val="FFFFFF"/>
                <w:w w:val="95"/>
              </w:rPr>
              <w:t>Equity</w:t>
            </w:r>
          </w:p>
        </w:tc>
        <w:tc>
          <w:tcPr>
            <w:tcW w:w="78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22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24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84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6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00" w:type="dxa"/>
            <w:vAlign w:val="bottom"/>
            <w:vMerge w:val="continue"/>
            <w:shd w:val="clear" w:color="auto" w:fill="1D3060"/>
          </w:tcPr>
          <w:p>
            <w:pPr>
              <w:spacing w:after="0"/>
              <w:rPr>
                <w:sz w:val="11"/>
                <w:szCs w:val="11"/>
                <w:color w:val="auto"/>
              </w:rPr>
            </w:pP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Incentive</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22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24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84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6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5"/>
              </w:rPr>
              <w:t>Incentive</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4"/>
              </w:rPr>
              <w:t>Plan</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22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24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84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6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4"/>
              </w:rPr>
              <w:t>Plan</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22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24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84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6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7"/>
              </w:rPr>
              <w:t>Awards:</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Market</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22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24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84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6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3"/>
              </w:rPr>
              <w:t>Number</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6"/>
              </w:rPr>
              <w:t>or Payout</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22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24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84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6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00" w:type="dxa"/>
            <w:vAlign w:val="bottom"/>
            <w:shd w:val="clear" w:color="auto" w:fill="1D3060"/>
          </w:tcPr>
          <w:p>
            <w:pPr>
              <w:jc w:val="center"/>
              <w:ind w:right="137"/>
              <w:spacing w:after="0" w:line="135" w:lineRule="exact"/>
              <w:rPr>
                <w:sz w:val="20"/>
                <w:szCs w:val="20"/>
                <w:color w:val="auto"/>
              </w:rPr>
            </w:pPr>
            <w:r>
              <w:rPr>
                <w:rFonts w:ascii="Arial" w:cs="Arial" w:eastAsia="Arial" w:hAnsi="Arial"/>
                <w:sz w:val="13"/>
                <w:szCs w:val="13"/>
                <w:b w:val="1"/>
                <w:bCs w:val="1"/>
                <w:color w:val="FFFFFF"/>
                <w:w w:val="97"/>
              </w:rPr>
              <w:t>of</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22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24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84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60" w:type="dxa"/>
            <w:vAlign w:val="bottom"/>
            <w:vMerge w:val="restart"/>
            <w:shd w:val="clear" w:color="auto" w:fill="1D3060"/>
          </w:tcPr>
          <w:p>
            <w:pPr>
              <w:jc w:val="center"/>
              <w:ind w:right="137"/>
              <w:spacing w:after="0"/>
              <w:rPr>
                <w:sz w:val="20"/>
                <w:szCs w:val="20"/>
                <w:color w:val="auto"/>
              </w:rPr>
            </w:pPr>
            <w:r>
              <w:rPr>
                <w:rFonts w:ascii="Arial" w:cs="Arial" w:eastAsia="Arial" w:hAnsi="Arial"/>
                <w:sz w:val="13"/>
                <w:szCs w:val="13"/>
                <w:b w:val="1"/>
                <w:bCs w:val="1"/>
                <w:color w:val="FFFFFF"/>
                <w:w w:val="95"/>
              </w:rPr>
              <w:t>Number of</w:t>
            </w:r>
          </w:p>
        </w:tc>
        <w:tc>
          <w:tcPr>
            <w:tcW w:w="860" w:type="dxa"/>
            <w:vAlign w:val="bottom"/>
            <w:vMerge w:val="restart"/>
            <w:shd w:val="clear" w:color="auto" w:fill="1D3060"/>
          </w:tcPr>
          <w:p>
            <w:pPr>
              <w:jc w:val="center"/>
              <w:spacing w:after="0"/>
              <w:rPr>
                <w:sz w:val="20"/>
                <w:szCs w:val="20"/>
                <w:color w:val="auto"/>
              </w:rPr>
            </w:pPr>
            <w:r>
              <w:rPr>
                <w:rFonts w:ascii="Arial" w:cs="Arial" w:eastAsia="Arial" w:hAnsi="Arial"/>
                <w:sz w:val="13"/>
                <w:szCs w:val="13"/>
                <w:b w:val="1"/>
                <w:bCs w:val="1"/>
                <w:color w:val="FFFFFF"/>
              </w:rPr>
              <w:t>Market</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6"/>
              </w:rPr>
              <w:t>Unearned</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6"/>
              </w:rPr>
              <w:t>Unearned</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22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24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84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60" w:type="dxa"/>
            <w:vAlign w:val="bottom"/>
            <w:vMerge w:val="continue"/>
            <w:shd w:val="clear" w:color="auto" w:fill="1D3060"/>
          </w:tcPr>
          <w:p>
            <w:pPr>
              <w:spacing w:after="0"/>
              <w:rPr>
                <w:sz w:val="11"/>
                <w:szCs w:val="11"/>
                <w:color w:val="auto"/>
              </w:rPr>
            </w:pPr>
          </w:p>
        </w:tc>
        <w:tc>
          <w:tcPr>
            <w:tcW w:w="860" w:type="dxa"/>
            <w:vAlign w:val="bottom"/>
            <w:vMerge w:val="continue"/>
            <w:shd w:val="clear" w:color="auto" w:fill="1D3060"/>
          </w:tcPr>
          <w:p>
            <w:pPr>
              <w:spacing w:after="0"/>
              <w:rPr>
                <w:sz w:val="11"/>
                <w:szCs w:val="11"/>
                <w:color w:val="auto"/>
              </w:rPr>
            </w:pP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7"/>
              </w:rPr>
              <w:t>Shares,</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7"/>
              </w:rPr>
              <w:t>Shares,</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220" w:type="dxa"/>
            <w:vAlign w:val="bottom"/>
            <w:shd w:val="clear" w:color="auto" w:fill="1D3060"/>
          </w:tcPr>
          <w:p>
            <w:pPr>
              <w:spacing w:after="0"/>
              <w:rPr>
                <w:sz w:val="11"/>
                <w:szCs w:val="11"/>
                <w:color w:val="auto"/>
              </w:rPr>
            </w:pPr>
          </w:p>
        </w:tc>
        <w:tc>
          <w:tcPr>
            <w:tcW w:w="900" w:type="dxa"/>
            <w:vAlign w:val="bottom"/>
            <w:vMerge w:val="restart"/>
            <w:shd w:val="clear" w:color="auto" w:fill="1D3060"/>
          </w:tcPr>
          <w:p>
            <w:pPr>
              <w:jc w:val="center"/>
              <w:ind w:right="177"/>
              <w:spacing w:after="0"/>
              <w:rPr>
                <w:sz w:val="20"/>
                <w:szCs w:val="20"/>
                <w:color w:val="auto"/>
              </w:rPr>
            </w:pPr>
            <w:r>
              <w:rPr>
                <w:rFonts w:ascii="Arial" w:cs="Arial" w:eastAsia="Arial" w:hAnsi="Arial"/>
                <w:sz w:val="13"/>
                <w:szCs w:val="13"/>
                <w:b w:val="1"/>
                <w:bCs w:val="1"/>
                <w:color w:val="FFFFFF"/>
                <w:w w:val="95"/>
              </w:rPr>
              <w:t>Number of</w:t>
            </w:r>
          </w:p>
        </w:tc>
        <w:tc>
          <w:tcPr>
            <w:tcW w:w="240" w:type="dxa"/>
            <w:vAlign w:val="bottom"/>
            <w:shd w:val="clear" w:color="auto" w:fill="1D3060"/>
          </w:tcPr>
          <w:p>
            <w:pPr>
              <w:spacing w:after="0"/>
              <w:rPr>
                <w:sz w:val="11"/>
                <w:szCs w:val="11"/>
                <w:color w:val="auto"/>
              </w:rPr>
            </w:pPr>
          </w:p>
        </w:tc>
        <w:tc>
          <w:tcPr>
            <w:tcW w:w="820" w:type="dxa"/>
            <w:vAlign w:val="bottom"/>
            <w:vMerge w:val="restart"/>
            <w:shd w:val="clear" w:color="auto" w:fill="1D3060"/>
          </w:tcPr>
          <w:p>
            <w:pPr>
              <w:jc w:val="center"/>
              <w:ind w:right="57"/>
              <w:spacing w:after="0"/>
              <w:rPr>
                <w:sz w:val="20"/>
                <w:szCs w:val="20"/>
                <w:color w:val="auto"/>
              </w:rPr>
            </w:pPr>
            <w:r>
              <w:rPr>
                <w:rFonts w:ascii="Arial" w:cs="Arial" w:eastAsia="Arial" w:hAnsi="Arial"/>
                <w:sz w:val="13"/>
                <w:szCs w:val="13"/>
                <w:b w:val="1"/>
                <w:bCs w:val="1"/>
                <w:color w:val="FFFFFF"/>
                <w:w w:val="95"/>
              </w:rPr>
              <w:t>Number of</w:t>
            </w:r>
          </w:p>
        </w:tc>
        <w:tc>
          <w:tcPr>
            <w:tcW w:w="840" w:type="dxa"/>
            <w:vAlign w:val="bottom"/>
            <w:shd w:val="clear" w:color="auto" w:fill="1D3060"/>
          </w:tcPr>
          <w:p>
            <w:pPr>
              <w:spacing w:after="0"/>
              <w:rPr>
                <w:sz w:val="11"/>
                <w:szCs w:val="11"/>
                <w:color w:val="auto"/>
              </w:rPr>
            </w:pPr>
          </w:p>
        </w:tc>
        <w:tc>
          <w:tcPr>
            <w:tcW w:w="860" w:type="dxa"/>
            <w:vAlign w:val="bottom"/>
            <w:shd w:val="clear" w:color="auto" w:fill="1D3060"/>
          </w:tcPr>
          <w:p>
            <w:pPr>
              <w:spacing w:after="0"/>
              <w:rPr>
                <w:sz w:val="11"/>
                <w:szCs w:val="11"/>
                <w:color w:val="auto"/>
              </w:rPr>
            </w:pPr>
          </w:p>
        </w:tc>
        <w:tc>
          <w:tcPr>
            <w:tcW w:w="1060" w:type="dxa"/>
            <w:vAlign w:val="bottom"/>
            <w:shd w:val="clear" w:color="auto" w:fill="1D3060"/>
          </w:tcPr>
          <w:p>
            <w:pPr>
              <w:jc w:val="center"/>
              <w:ind w:right="137"/>
              <w:spacing w:after="0" w:line="135" w:lineRule="exact"/>
              <w:rPr>
                <w:sz w:val="20"/>
                <w:szCs w:val="20"/>
                <w:color w:val="auto"/>
              </w:rPr>
            </w:pPr>
            <w:r>
              <w:rPr>
                <w:rFonts w:ascii="Arial" w:cs="Arial" w:eastAsia="Arial" w:hAnsi="Arial"/>
                <w:sz w:val="13"/>
                <w:szCs w:val="13"/>
                <w:b w:val="1"/>
                <w:bCs w:val="1"/>
                <w:color w:val="FFFFFF"/>
                <w:w w:val="96"/>
              </w:rPr>
              <w:t>Shares or</w:t>
            </w:r>
          </w:p>
        </w:tc>
        <w:tc>
          <w:tcPr>
            <w:tcW w:w="86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3"/>
              </w:rPr>
              <w:t>Units or</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7"/>
              </w:rPr>
              <w:t>Units or</w:t>
            </w:r>
          </w:p>
        </w:tc>
        <w:tc>
          <w:tcPr>
            <w:tcW w:w="0" w:type="dxa"/>
            <w:vAlign w:val="bottom"/>
          </w:tcPr>
          <w:p>
            <w:pPr>
              <w:spacing w:after="0"/>
              <w:rPr>
                <w:sz w:val="1"/>
                <w:szCs w:val="1"/>
                <w:color w:val="auto"/>
              </w:rPr>
            </w:pPr>
          </w:p>
        </w:tc>
      </w:tr>
      <w:tr>
        <w:trPr>
          <w:trHeight w:val="126"/>
        </w:trPr>
        <w:tc>
          <w:tcPr>
            <w:tcW w:w="2540" w:type="dxa"/>
            <w:vAlign w:val="bottom"/>
            <w:shd w:val="clear" w:color="auto" w:fill="1D3060"/>
          </w:tcPr>
          <w:p>
            <w:pPr>
              <w:spacing w:after="0"/>
              <w:rPr>
                <w:sz w:val="10"/>
                <w:szCs w:val="10"/>
                <w:color w:val="auto"/>
              </w:rPr>
            </w:pPr>
          </w:p>
        </w:tc>
        <w:tc>
          <w:tcPr>
            <w:tcW w:w="180" w:type="dxa"/>
            <w:vAlign w:val="bottom"/>
            <w:shd w:val="clear" w:color="auto" w:fill="1D3060"/>
          </w:tcPr>
          <w:p>
            <w:pPr>
              <w:spacing w:after="0"/>
              <w:rPr>
                <w:sz w:val="10"/>
                <w:szCs w:val="10"/>
                <w:color w:val="auto"/>
              </w:rPr>
            </w:pPr>
          </w:p>
        </w:tc>
        <w:tc>
          <w:tcPr>
            <w:tcW w:w="720" w:type="dxa"/>
            <w:vAlign w:val="bottom"/>
            <w:shd w:val="clear" w:color="auto" w:fill="1D3060"/>
          </w:tcPr>
          <w:p>
            <w:pPr>
              <w:spacing w:after="0"/>
              <w:rPr>
                <w:sz w:val="10"/>
                <w:szCs w:val="10"/>
                <w:color w:val="auto"/>
              </w:rPr>
            </w:pPr>
          </w:p>
        </w:tc>
        <w:tc>
          <w:tcPr>
            <w:tcW w:w="220" w:type="dxa"/>
            <w:vAlign w:val="bottom"/>
            <w:shd w:val="clear" w:color="auto" w:fill="1D3060"/>
          </w:tcPr>
          <w:p>
            <w:pPr>
              <w:spacing w:after="0"/>
              <w:rPr>
                <w:sz w:val="10"/>
                <w:szCs w:val="10"/>
                <w:color w:val="auto"/>
              </w:rPr>
            </w:pPr>
          </w:p>
        </w:tc>
        <w:tc>
          <w:tcPr>
            <w:tcW w:w="900" w:type="dxa"/>
            <w:vAlign w:val="bottom"/>
            <w:vMerge w:val="continue"/>
            <w:shd w:val="clear" w:color="auto" w:fill="1D3060"/>
          </w:tcPr>
          <w:p>
            <w:pPr>
              <w:spacing w:after="0"/>
              <w:rPr>
                <w:sz w:val="10"/>
                <w:szCs w:val="10"/>
                <w:color w:val="auto"/>
              </w:rPr>
            </w:pPr>
          </w:p>
        </w:tc>
        <w:tc>
          <w:tcPr>
            <w:tcW w:w="240" w:type="dxa"/>
            <w:vAlign w:val="bottom"/>
            <w:shd w:val="clear" w:color="auto" w:fill="1D3060"/>
          </w:tcPr>
          <w:p>
            <w:pPr>
              <w:spacing w:after="0"/>
              <w:rPr>
                <w:sz w:val="10"/>
                <w:szCs w:val="10"/>
                <w:color w:val="auto"/>
              </w:rPr>
            </w:pPr>
          </w:p>
        </w:tc>
        <w:tc>
          <w:tcPr>
            <w:tcW w:w="820" w:type="dxa"/>
            <w:vAlign w:val="bottom"/>
            <w:vMerge w:val="continue"/>
            <w:shd w:val="clear" w:color="auto" w:fill="1D3060"/>
          </w:tcPr>
          <w:p>
            <w:pPr>
              <w:spacing w:after="0"/>
              <w:rPr>
                <w:sz w:val="10"/>
                <w:szCs w:val="10"/>
                <w:color w:val="auto"/>
              </w:rPr>
            </w:pPr>
          </w:p>
        </w:tc>
        <w:tc>
          <w:tcPr>
            <w:tcW w:w="840" w:type="dxa"/>
            <w:vAlign w:val="bottom"/>
            <w:shd w:val="clear" w:color="auto" w:fill="1D3060"/>
          </w:tcPr>
          <w:p>
            <w:pPr>
              <w:spacing w:after="0"/>
              <w:rPr>
                <w:sz w:val="10"/>
                <w:szCs w:val="10"/>
                <w:color w:val="auto"/>
              </w:rPr>
            </w:pPr>
          </w:p>
        </w:tc>
        <w:tc>
          <w:tcPr>
            <w:tcW w:w="860" w:type="dxa"/>
            <w:vAlign w:val="bottom"/>
            <w:shd w:val="clear" w:color="auto" w:fill="1D3060"/>
          </w:tcPr>
          <w:p>
            <w:pPr>
              <w:spacing w:after="0"/>
              <w:rPr>
                <w:sz w:val="10"/>
                <w:szCs w:val="10"/>
                <w:color w:val="auto"/>
              </w:rPr>
            </w:pPr>
          </w:p>
        </w:tc>
        <w:tc>
          <w:tcPr>
            <w:tcW w:w="1060" w:type="dxa"/>
            <w:vAlign w:val="bottom"/>
            <w:shd w:val="clear" w:color="auto" w:fill="1D3060"/>
          </w:tcPr>
          <w:p>
            <w:pPr>
              <w:jc w:val="center"/>
              <w:ind w:right="137"/>
              <w:spacing w:after="0" w:line="126" w:lineRule="exact"/>
              <w:rPr>
                <w:sz w:val="20"/>
                <w:szCs w:val="20"/>
                <w:color w:val="auto"/>
              </w:rPr>
            </w:pPr>
            <w:r>
              <w:rPr>
                <w:rFonts w:ascii="Arial" w:cs="Arial" w:eastAsia="Arial" w:hAnsi="Arial"/>
                <w:sz w:val="13"/>
                <w:szCs w:val="13"/>
                <w:b w:val="1"/>
                <w:bCs w:val="1"/>
                <w:color w:val="FFFFFF"/>
                <w:w w:val="94"/>
              </w:rPr>
              <w:t>Units of</w:t>
            </w:r>
          </w:p>
        </w:tc>
        <w:tc>
          <w:tcPr>
            <w:tcW w:w="860" w:type="dxa"/>
            <w:vAlign w:val="bottom"/>
            <w:shd w:val="clear" w:color="auto" w:fill="1D3060"/>
          </w:tcPr>
          <w:p>
            <w:pPr>
              <w:jc w:val="center"/>
              <w:spacing w:after="0" w:line="126" w:lineRule="exact"/>
              <w:rPr>
                <w:sz w:val="20"/>
                <w:szCs w:val="20"/>
                <w:color w:val="auto"/>
              </w:rPr>
            </w:pPr>
            <w:r>
              <w:rPr>
                <w:rFonts w:ascii="Arial" w:cs="Arial" w:eastAsia="Arial" w:hAnsi="Arial"/>
                <w:sz w:val="13"/>
                <w:szCs w:val="13"/>
                <w:b w:val="1"/>
                <w:bCs w:val="1"/>
                <w:color w:val="FFFFFF"/>
                <w:w w:val="96"/>
              </w:rPr>
              <w:t>Shares or</w:t>
            </w:r>
          </w:p>
        </w:tc>
        <w:tc>
          <w:tcPr>
            <w:tcW w:w="1000" w:type="dxa"/>
            <w:vAlign w:val="bottom"/>
            <w:shd w:val="clear" w:color="auto" w:fill="1D3060"/>
          </w:tcPr>
          <w:p>
            <w:pPr>
              <w:jc w:val="center"/>
              <w:ind w:right="117"/>
              <w:spacing w:after="0" w:line="126" w:lineRule="exact"/>
              <w:rPr>
                <w:sz w:val="20"/>
                <w:szCs w:val="20"/>
                <w:color w:val="auto"/>
              </w:rPr>
            </w:pPr>
            <w:r>
              <w:rPr>
                <w:rFonts w:ascii="Arial" w:cs="Arial" w:eastAsia="Arial" w:hAnsi="Arial"/>
                <w:sz w:val="13"/>
                <w:szCs w:val="13"/>
                <w:b w:val="1"/>
                <w:bCs w:val="1"/>
                <w:color w:val="FFFFFF"/>
                <w:w w:val="97"/>
              </w:rPr>
              <w:t>Other</w:t>
            </w:r>
          </w:p>
        </w:tc>
        <w:tc>
          <w:tcPr>
            <w:tcW w:w="780" w:type="dxa"/>
            <w:vAlign w:val="bottom"/>
            <w:shd w:val="clear" w:color="auto" w:fill="1D3060"/>
          </w:tcPr>
          <w:p>
            <w:pPr>
              <w:jc w:val="center"/>
              <w:spacing w:after="0" w:line="126" w:lineRule="exact"/>
              <w:rPr>
                <w:sz w:val="20"/>
                <w:szCs w:val="20"/>
                <w:color w:val="auto"/>
              </w:rPr>
            </w:pPr>
            <w:r>
              <w:rPr>
                <w:rFonts w:ascii="Arial" w:cs="Arial" w:eastAsia="Arial" w:hAnsi="Arial"/>
                <w:sz w:val="13"/>
                <w:szCs w:val="13"/>
                <w:b w:val="1"/>
                <w:bCs w:val="1"/>
                <w:color w:val="FFFFFF"/>
                <w:w w:val="97"/>
              </w:rPr>
              <w:t>Other</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220" w:type="dxa"/>
            <w:vAlign w:val="bottom"/>
            <w:shd w:val="clear" w:color="auto" w:fill="1D3060"/>
          </w:tcPr>
          <w:p>
            <w:pPr>
              <w:spacing w:after="0"/>
              <w:rPr>
                <w:sz w:val="11"/>
                <w:szCs w:val="11"/>
                <w:color w:val="auto"/>
              </w:rPr>
            </w:pPr>
          </w:p>
        </w:tc>
        <w:tc>
          <w:tcPr>
            <w:tcW w:w="900" w:type="dxa"/>
            <w:vAlign w:val="bottom"/>
            <w:shd w:val="clear" w:color="auto" w:fill="1D3060"/>
          </w:tcPr>
          <w:p>
            <w:pPr>
              <w:jc w:val="center"/>
              <w:ind w:right="157"/>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240" w:type="dxa"/>
            <w:vAlign w:val="bottom"/>
            <w:shd w:val="clear" w:color="auto" w:fill="1D3060"/>
          </w:tcPr>
          <w:p>
            <w:pPr>
              <w:spacing w:after="0"/>
              <w:rPr>
                <w:sz w:val="11"/>
                <w:szCs w:val="11"/>
                <w:color w:val="auto"/>
              </w:rPr>
            </w:pPr>
          </w:p>
        </w:tc>
        <w:tc>
          <w:tcPr>
            <w:tcW w:w="820" w:type="dxa"/>
            <w:vAlign w:val="bottom"/>
            <w:shd w:val="clear" w:color="auto" w:fill="1D3060"/>
          </w:tcPr>
          <w:p>
            <w:pPr>
              <w:jc w:val="center"/>
              <w:ind w:right="37"/>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840" w:type="dxa"/>
            <w:vAlign w:val="bottom"/>
            <w:vMerge w:val="restart"/>
            <w:shd w:val="clear" w:color="auto" w:fill="1D3060"/>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860" w:type="dxa"/>
            <w:vAlign w:val="bottom"/>
            <w:shd w:val="clear" w:color="auto" w:fill="1D3060"/>
          </w:tcPr>
          <w:p>
            <w:pPr>
              <w:spacing w:after="0"/>
              <w:rPr>
                <w:sz w:val="11"/>
                <w:szCs w:val="11"/>
                <w:color w:val="auto"/>
              </w:rPr>
            </w:pPr>
          </w:p>
        </w:tc>
        <w:tc>
          <w:tcPr>
            <w:tcW w:w="1060" w:type="dxa"/>
            <w:vAlign w:val="bottom"/>
            <w:shd w:val="clear" w:color="auto" w:fill="1D3060"/>
          </w:tcPr>
          <w:p>
            <w:pPr>
              <w:jc w:val="center"/>
              <w:ind w:right="137"/>
              <w:spacing w:after="0" w:line="135" w:lineRule="exact"/>
              <w:rPr>
                <w:sz w:val="20"/>
                <w:szCs w:val="20"/>
                <w:color w:val="auto"/>
              </w:rPr>
            </w:pPr>
            <w:r>
              <w:rPr>
                <w:rFonts w:ascii="Arial" w:cs="Arial" w:eastAsia="Arial" w:hAnsi="Arial"/>
                <w:sz w:val="13"/>
                <w:szCs w:val="13"/>
                <w:b w:val="1"/>
                <w:bCs w:val="1"/>
                <w:color w:val="FFFFFF"/>
                <w:w w:val="95"/>
              </w:rPr>
              <w:t>Stock</w:t>
            </w:r>
          </w:p>
        </w:tc>
        <w:tc>
          <w:tcPr>
            <w:tcW w:w="86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4"/>
              </w:rPr>
              <w:t>Units of</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3"/>
              </w:rPr>
              <w:t>Rights</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3"/>
              </w:rPr>
              <w:t>Rights</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120" w:type="dxa"/>
            <w:vAlign w:val="bottom"/>
            <w:gridSpan w:val="2"/>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240" w:type="dxa"/>
            <w:vAlign w:val="bottom"/>
            <w:shd w:val="clear" w:color="auto" w:fill="1D3060"/>
          </w:tcPr>
          <w:p>
            <w:pPr>
              <w:spacing w:after="0"/>
              <w:rPr>
                <w:sz w:val="11"/>
                <w:szCs w:val="11"/>
                <w:color w:val="auto"/>
              </w:rPr>
            </w:pPr>
          </w:p>
        </w:tc>
        <w:tc>
          <w:tcPr>
            <w:tcW w:w="820" w:type="dxa"/>
            <w:vAlign w:val="bottom"/>
            <w:shd w:val="clear" w:color="auto" w:fill="1D3060"/>
          </w:tcPr>
          <w:p>
            <w:pPr>
              <w:jc w:val="center"/>
              <w:ind w:right="5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840" w:type="dxa"/>
            <w:vAlign w:val="bottom"/>
            <w:vMerge w:val="continue"/>
            <w:shd w:val="clear" w:color="auto" w:fill="1D3060"/>
          </w:tcPr>
          <w:p>
            <w:pPr>
              <w:spacing w:after="0"/>
              <w:rPr>
                <w:sz w:val="11"/>
                <w:szCs w:val="11"/>
                <w:color w:val="auto"/>
              </w:rPr>
            </w:pPr>
          </w:p>
        </w:tc>
        <w:tc>
          <w:tcPr>
            <w:tcW w:w="860" w:type="dxa"/>
            <w:vAlign w:val="bottom"/>
            <w:vMerge w:val="restart"/>
            <w:shd w:val="clear" w:color="auto" w:fill="1D3060"/>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1060" w:type="dxa"/>
            <w:vAlign w:val="bottom"/>
            <w:shd w:val="clear" w:color="auto" w:fill="1D3060"/>
          </w:tcPr>
          <w:p>
            <w:pPr>
              <w:jc w:val="center"/>
              <w:ind w:right="137"/>
              <w:spacing w:after="0" w:line="135" w:lineRule="exact"/>
              <w:rPr>
                <w:sz w:val="20"/>
                <w:szCs w:val="20"/>
                <w:color w:val="auto"/>
              </w:rPr>
            </w:pPr>
            <w:r>
              <w:rPr>
                <w:rFonts w:ascii="Arial" w:cs="Arial" w:eastAsia="Arial" w:hAnsi="Arial"/>
                <w:sz w:val="13"/>
                <w:szCs w:val="13"/>
                <w:b w:val="1"/>
                <w:bCs w:val="1"/>
                <w:color w:val="FFFFFF"/>
                <w:w w:val="94"/>
              </w:rPr>
              <w:t>That</w:t>
            </w:r>
          </w:p>
        </w:tc>
        <w:tc>
          <w:tcPr>
            <w:tcW w:w="86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9"/>
              </w:rPr>
              <w:t>Stock That</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4"/>
              </w:rPr>
              <w:t>That</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4"/>
              </w:rPr>
              <w:t>That</w:t>
            </w:r>
          </w:p>
        </w:tc>
        <w:tc>
          <w:tcPr>
            <w:tcW w:w="0" w:type="dxa"/>
            <w:vAlign w:val="bottom"/>
          </w:tcPr>
          <w:p>
            <w:pPr>
              <w:spacing w:after="0"/>
              <w:rPr>
                <w:sz w:val="1"/>
                <w:szCs w:val="1"/>
                <w:color w:val="auto"/>
              </w:rPr>
            </w:pPr>
          </w:p>
        </w:tc>
      </w:tr>
      <w:tr>
        <w:trPr>
          <w:trHeight w:val="135"/>
        </w:trPr>
        <w:tc>
          <w:tcPr>
            <w:tcW w:w="254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120" w:type="dxa"/>
            <w:vAlign w:val="bottom"/>
            <w:gridSpan w:val="2"/>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1060" w:type="dxa"/>
            <w:vAlign w:val="bottom"/>
            <w:gridSpan w:val="2"/>
            <w:shd w:val="clear" w:color="auto" w:fill="1D3060"/>
          </w:tcPr>
          <w:p>
            <w:pPr>
              <w:jc w:val="center"/>
              <w:ind w:left="57"/>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84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860" w:type="dxa"/>
            <w:vAlign w:val="bottom"/>
            <w:vMerge w:val="continue"/>
            <w:shd w:val="clear" w:color="auto" w:fill="1D3060"/>
          </w:tcPr>
          <w:p>
            <w:pPr>
              <w:spacing w:after="0"/>
              <w:rPr>
                <w:sz w:val="11"/>
                <w:szCs w:val="11"/>
                <w:color w:val="auto"/>
              </w:rPr>
            </w:pPr>
          </w:p>
        </w:tc>
        <w:tc>
          <w:tcPr>
            <w:tcW w:w="1060" w:type="dxa"/>
            <w:vAlign w:val="bottom"/>
            <w:shd w:val="clear" w:color="auto" w:fill="1D3060"/>
          </w:tcPr>
          <w:p>
            <w:pPr>
              <w:jc w:val="center"/>
              <w:ind w:right="137"/>
              <w:spacing w:after="0" w:line="135" w:lineRule="exact"/>
              <w:rPr>
                <w:sz w:val="20"/>
                <w:szCs w:val="20"/>
                <w:color w:val="auto"/>
              </w:rPr>
            </w:pPr>
            <w:r>
              <w:rPr>
                <w:rFonts w:ascii="Arial" w:cs="Arial" w:eastAsia="Arial" w:hAnsi="Arial"/>
                <w:sz w:val="13"/>
                <w:szCs w:val="13"/>
                <w:b w:val="1"/>
                <w:bCs w:val="1"/>
                <w:color w:val="FFFFFF"/>
                <w:w w:val="95"/>
              </w:rPr>
              <w:t>Have Not</w:t>
            </w:r>
          </w:p>
        </w:tc>
        <w:tc>
          <w:tcPr>
            <w:tcW w:w="86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Have Not</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5"/>
              </w:rPr>
              <w:t>Have Not</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Have Not</w:t>
            </w:r>
          </w:p>
        </w:tc>
        <w:tc>
          <w:tcPr>
            <w:tcW w:w="0" w:type="dxa"/>
            <w:vAlign w:val="bottom"/>
          </w:tcPr>
          <w:p>
            <w:pPr>
              <w:spacing w:after="0"/>
              <w:rPr>
                <w:sz w:val="1"/>
                <w:szCs w:val="1"/>
                <w:color w:val="auto"/>
              </w:rPr>
            </w:pPr>
          </w:p>
        </w:tc>
      </w:tr>
      <w:tr>
        <w:trPr>
          <w:trHeight w:val="135"/>
        </w:trPr>
        <w:tc>
          <w:tcPr>
            <w:tcW w:w="2540" w:type="dxa"/>
            <w:vAlign w:val="bottom"/>
            <w:vMerge w:val="restart"/>
            <w:shd w:val="clear" w:color="auto" w:fill="1D3060"/>
          </w:tcPr>
          <w:p>
            <w:pPr>
              <w:spacing w:after="0"/>
              <w:rPr>
                <w:sz w:val="20"/>
                <w:szCs w:val="20"/>
                <w:color w:val="auto"/>
              </w:rPr>
            </w:pPr>
            <w:r>
              <w:rPr>
                <w:rFonts w:ascii="Arial" w:cs="Arial" w:eastAsia="Arial" w:hAnsi="Arial"/>
                <w:sz w:val="13"/>
                <w:szCs w:val="13"/>
                <w:b w:val="1"/>
                <w:bCs w:val="1"/>
                <w:color w:val="FFFFFF"/>
              </w:rPr>
              <w:t>  Name</w:t>
            </w:r>
          </w:p>
        </w:tc>
        <w:tc>
          <w:tcPr>
            <w:tcW w:w="180" w:type="dxa"/>
            <w:vAlign w:val="bottom"/>
            <w:shd w:val="clear" w:color="auto" w:fill="1D3060"/>
          </w:tcPr>
          <w:p>
            <w:pPr>
              <w:spacing w:after="0"/>
              <w:rPr>
                <w:sz w:val="11"/>
                <w:szCs w:val="11"/>
                <w:color w:val="auto"/>
              </w:rPr>
            </w:pPr>
          </w:p>
        </w:tc>
        <w:tc>
          <w:tcPr>
            <w:tcW w:w="720" w:type="dxa"/>
            <w:vAlign w:val="bottom"/>
            <w:vMerge w:val="restart"/>
            <w:shd w:val="clear" w:color="auto" w:fill="1D3060"/>
          </w:tcPr>
          <w:p>
            <w:pPr>
              <w:jc w:val="right"/>
              <w:spacing w:after="0"/>
              <w:rPr>
                <w:sz w:val="20"/>
                <w:szCs w:val="20"/>
                <w:color w:val="auto"/>
              </w:rPr>
            </w:pPr>
            <w:r>
              <w:rPr>
                <w:rFonts w:ascii="Arial" w:cs="Arial" w:eastAsia="Arial" w:hAnsi="Arial"/>
                <w:sz w:val="13"/>
                <w:szCs w:val="13"/>
                <w:b w:val="1"/>
                <w:bCs w:val="1"/>
                <w:color w:val="FFFFFF"/>
                <w:w w:val="96"/>
              </w:rPr>
              <w:t>Grant Date</w:t>
            </w:r>
          </w:p>
        </w:tc>
        <w:tc>
          <w:tcPr>
            <w:tcW w:w="1120" w:type="dxa"/>
            <w:vAlign w:val="bottom"/>
            <w:gridSpan w:val="2"/>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6"/>
              </w:rPr>
              <w:t>Options (#)</w:t>
            </w:r>
          </w:p>
        </w:tc>
        <w:tc>
          <w:tcPr>
            <w:tcW w:w="240" w:type="dxa"/>
            <w:vAlign w:val="bottom"/>
            <w:shd w:val="clear" w:color="auto" w:fill="1D3060"/>
          </w:tcPr>
          <w:p>
            <w:pPr>
              <w:spacing w:after="0"/>
              <w:rPr>
                <w:sz w:val="11"/>
                <w:szCs w:val="11"/>
                <w:color w:val="auto"/>
              </w:rPr>
            </w:pPr>
          </w:p>
        </w:tc>
        <w:tc>
          <w:tcPr>
            <w:tcW w:w="820" w:type="dxa"/>
            <w:vAlign w:val="bottom"/>
            <w:shd w:val="clear" w:color="auto" w:fill="1D3060"/>
          </w:tcPr>
          <w:p>
            <w:pPr>
              <w:jc w:val="center"/>
              <w:ind w:right="57"/>
              <w:spacing w:after="0" w:line="135" w:lineRule="exact"/>
              <w:rPr>
                <w:sz w:val="20"/>
                <w:szCs w:val="20"/>
                <w:color w:val="auto"/>
              </w:rPr>
            </w:pPr>
            <w:r>
              <w:rPr>
                <w:rFonts w:ascii="Arial" w:cs="Arial" w:eastAsia="Arial" w:hAnsi="Arial"/>
                <w:sz w:val="13"/>
                <w:szCs w:val="13"/>
                <w:b w:val="1"/>
                <w:bCs w:val="1"/>
                <w:color w:val="FFFFFF"/>
                <w:w w:val="96"/>
              </w:rPr>
              <w:t>Options (#)</w:t>
            </w:r>
          </w:p>
        </w:tc>
        <w:tc>
          <w:tcPr>
            <w:tcW w:w="84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4"/>
              </w:rPr>
              <w:t>Price</w:t>
            </w:r>
          </w:p>
        </w:tc>
        <w:tc>
          <w:tcPr>
            <w:tcW w:w="86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4"/>
              </w:rPr>
              <w:t>Expiration</w:t>
            </w:r>
          </w:p>
        </w:tc>
        <w:tc>
          <w:tcPr>
            <w:tcW w:w="1060" w:type="dxa"/>
            <w:vAlign w:val="bottom"/>
            <w:shd w:val="clear" w:color="auto" w:fill="1D3060"/>
          </w:tcPr>
          <w:p>
            <w:pPr>
              <w:jc w:val="center"/>
              <w:ind w:right="137"/>
              <w:spacing w:after="0" w:line="135" w:lineRule="exact"/>
              <w:rPr>
                <w:sz w:val="20"/>
                <w:szCs w:val="20"/>
                <w:color w:val="auto"/>
              </w:rPr>
            </w:pPr>
            <w:r>
              <w:rPr>
                <w:rFonts w:ascii="Arial" w:cs="Arial" w:eastAsia="Arial" w:hAnsi="Arial"/>
                <w:sz w:val="13"/>
                <w:szCs w:val="13"/>
                <w:b w:val="1"/>
                <w:bCs w:val="1"/>
                <w:color w:val="FFFFFF"/>
                <w:w w:val="98"/>
              </w:rPr>
              <w:t>Vested</w:t>
            </w:r>
          </w:p>
        </w:tc>
        <w:tc>
          <w:tcPr>
            <w:tcW w:w="86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8"/>
              </w:rPr>
              <w:t>Vested</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8"/>
              </w:rPr>
              <w:t>Vested</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0" w:type="dxa"/>
            <w:vAlign w:val="bottom"/>
          </w:tcPr>
          <w:p>
            <w:pPr>
              <w:spacing w:after="0"/>
              <w:rPr>
                <w:sz w:val="1"/>
                <w:szCs w:val="1"/>
                <w:color w:val="auto"/>
              </w:rPr>
            </w:pPr>
          </w:p>
        </w:tc>
      </w:tr>
      <w:tr>
        <w:trPr>
          <w:trHeight w:val="189"/>
        </w:trPr>
        <w:tc>
          <w:tcPr>
            <w:tcW w:w="2540" w:type="dxa"/>
            <w:vAlign w:val="bottom"/>
            <w:vMerge w:val="continue"/>
            <w:shd w:val="clear" w:color="auto" w:fill="1D3060"/>
          </w:tcPr>
          <w:p>
            <w:pPr>
              <w:spacing w:after="0"/>
              <w:rPr>
                <w:sz w:val="16"/>
                <w:szCs w:val="16"/>
                <w:color w:val="auto"/>
              </w:rPr>
            </w:pPr>
          </w:p>
        </w:tc>
        <w:tc>
          <w:tcPr>
            <w:tcW w:w="180" w:type="dxa"/>
            <w:vAlign w:val="bottom"/>
            <w:shd w:val="clear" w:color="auto" w:fill="1D3060"/>
          </w:tcPr>
          <w:p>
            <w:pPr>
              <w:spacing w:after="0"/>
              <w:rPr>
                <w:sz w:val="16"/>
                <w:szCs w:val="16"/>
                <w:color w:val="auto"/>
              </w:rPr>
            </w:pPr>
          </w:p>
        </w:tc>
        <w:tc>
          <w:tcPr>
            <w:tcW w:w="720" w:type="dxa"/>
            <w:vAlign w:val="bottom"/>
            <w:vMerge w:val="continue"/>
            <w:shd w:val="clear" w:color="auto" w:fill="1D3060"/>
          </w:tcPr>
          <w:p>
            <w:pPr>
              <w:spacing w:after="0"/>
              <w:rPr>
                <w:sz w:val="16"/>
                <w:szCs w:val="16"/>
                <w:color w:val="auto"/>
              </w:rPr>
            </w:pPr>
          </w:p>
        </w:tc>
        <w:tc>
          <w:tcPr>
            <w:tcW w:w="1120" w:type="dxa"/>
            <w:vAlign w:val="bottom"/>
            <w:gridSpan w:val="2"/>
            <w:shd w:val="clear" w:color="auto" w:fill="1D3060"/>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060" w:type="dxa"/>
            <w:vAlign w:val="bottom"/>
            <w:gridSpan w:val="2"/>
            <w:shd w:val="clear" w:color="auto" w:fill="1D3060"/>
          </w:tcPr>
          <w:p>
            <w:pPr>
              <w:jc w:val="center"/>
              <w:ind w:left="57"/>
              <w:spacing w:after="0"/>
              <w:rPr>
                <w:sz w:val="20"/>
                <w:szCs w:val="20"/>
                <w:color w:val="auto"/>
              </w:rPr>
            </w:pPr>
            <w:r>
              <w:rPr>
                <w:rFonts w:ascii="Arial" w:cs="Arial" w:eastAsia="Arial" w:hAnsi="Arial"/>
                <w:sz w:val="13"/>
                <w:szCs w:val="13"/>
                <w:b w:val="1"/>
                <w:bCs w:val="1"/>
                <w:color w:val="FFFFFF"/>
                <w:w w:val="97"/>
              </w:rPr>
              <w:t>Unexercisable</w:t>
            </w:r>
          </w:p>
        </w:tc>
        <w:tc>
          <w:tcPr>
            <w:tcW w:w="84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w w:val="99"/>
              </w:rPr>
              <w:t>Date</w:t>
            </w:r>
          </w:p>
        </w:tc>
        <w:tc>
          <w:tcPr>
            <w:tcW w:w="1060" w:type="dxa"/>
            <w:vAlign w:val="bottom"/>
            <w:shd w:val="clear" w:color="auto" w:fill="1D3060"/>
          </w:tcPr>
          <w:p>
            <w:pPr>
              <w:jc w:val="center"/>
              <w:ind w:right="137"/>
              <w:spacing w:after="0"/>
              <w:rPr>
                <w:sz w:val="20"/>
                <w:szCs w:val="20"/>
                <w:color w:val="auto"/>
              </w:rPr>
            </w:pPr>
            <w:r>
              <w:rPr>
                <w:rFonts w:ascii="Arial" w:cs="Arial" w:eastAsia="Arial" w:hAnsi="Arial"/>
                <w:sz w:val="13"/>
                <w:szCs w:val="13"/>
                <w:b w:val="1"/>
                <w:bCs w:val="1"/>
                <w:color w:val="FFFFFF"/>
                <w:w w:val="87"/>
              </w:rPr>
              <w:t>(#)</w:t>
            </w:r>
          </w:p>
        </w:tc>
        <w:tc>
          <w:tcPr>
            <w:tcW w:w="86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w w:val="87"/>
              </w:rPr>
              <w:t>($)</w:t>
            </w:r>
          </w:p>
        </w:tc>
        <w:tc>
          <w:tcPr>
            <w:tcW w:w="1000" w:type="dxa"/>
            <w:vAlign w:val="bottom"/>
            <w:shd w:val="clear" w:color="auto" w:fill="1D3060"/>
          </w:tcPr>
          <w:p>
            <w:pPr>
              <w:jc w:val="center"/>
              <w:ind w:right="117"/>
              <w:spacing w:after="0"/>
              <w:rPr>
                <w:sz w:val="20"/>
                <w:szCs w:val="20"/>
                <w:color w:val="auto"/>
              </w:rPr>
            </w:pPr>
            <w:r>
              <w:rPr>
                <w:rFonts w:ascii="Arial" w:cs="Arial" w:eastAsia="Arial" w:hAnsi="Arial"/>
                <w:sz w:val="13"/>
                <w:szCs w:val="13"/>
                <w:b w:val="1"/>
                <w:bCs w:val="1"/>
                <w:color w:val="FFFFFF"/>
                <w:w w:val="87"/>
              </w:rPr>
              <w:t>(#)</w:t>
            </w:r>
          </w:p>
        </w:tc>
        <w:tc>
          <w:tcPr>
            <w:tcW w:w="78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1"/>
        </w:trPr>
        <w:tc>
          <w:tcPr>
            <w:tcW w:w="2540" w:type="dxa"/>
            <w:vAlign w:val="bottom"/>
            <w:shd w:val="clear" w:color="auto" w:fill="D7E8F5"/>
          </w:tcPr>
          <w:p>
            <w:pPr>
              <w:ind w:left="80"/>
              <w:spacing w:after="0"/>
              <w:rPr>
                <w:sz w:val="20"/>
                <w:szCs w:val="20"/>
                <w:color w:val="auto"/>
              </w:rPr>
            </w:pPr>
            <w:r>
              <w:rPr>
                <w:rFonts w:ascii="Arial" w:cs="Arial" w:eastAsia="Arial" w:hAnsi="Arial"/>
                <w:sz w:val="13"/>
                <w:szCs w:val="13"/>
                <w:color w:val="auto"/>
              </w:rPr>
              <w:t>Yvonne L. Greenstreet, MBChB, MBA</w:t>
            </w:r>
          </w:p>
        </w:tc>
        <w:tc>
          <w:tcPr>
            <w:tcW w:w="180" w:type="dxa"/>
            <w:vAlign w:val="bottom"/>
            <w:shd w:val="clear" w:color="auto" w:fill="D7E8F5"/>
          </w:tcPr>
          <w:p>
            <w:pPr>
              <w:spacing w:after="0"/>
              <w:rPr>
                <w:sz w:val="14"/>
                <w:szCs w:val="14"/>
                <w:color w:val="auto"/>
              </w:rPr>
            </w:pPr>
          </w:p>
        </w:tc>
        <w:tc>
          <w:tcPr>
            <w:tcW w:w="720" w:type="dxa"/>
            <w:vAlign w:val="bottom"/>
            <w:shd w:val="clear" w:color="auto" w:fill="D7E8F5"/>
          </w:tcPr>
          <w:p>
            <w:pPr>
              <w:jc w:val="right"/>
              <w:spacing w:after="0"/>
              <w:rPr>
                <w:sz w:val="20"/>
                <w:szCs w:val="20"/>
                <w:color w:val="auto"/>
              </w:rPr>
            </w:pPr>
            <w:r>
              <w:rPr>
                <w:rFonts w:ascii="Arial" w:cs="Arial" w:eastAsia="Arial" w:hAnsi="Arial"/>
                <w:sz w:val="13"/>
                <w:szCs w:val="13"/>
                <w:color w:val="auto"/>
              </w:rPr>
              <w:t>12/20/2016</w:t>
            </w:r>
          </w:p>
        </w:tc>
        <w:tc>
          <w:tcPr>
            <w:tcW w:w="1120" w:type="dxa"/>
            <w:vAlign w:val="bottom"/>
            <w:gridSpan w:val="2"/>
            <w:shd w:val="clear" w:color="auto" w:fill="D7E8F5"/>
          </w:tcPr>
          <w:p>
            <w:pPr>
              <w:jc w:val="right"/>
              <w:ind w:right="117"/>
              <w:spacing w:after="0"/>
              <w:rPr>
                <w:sz w:val="20"/>
                <w:szCs w:val="20"/>
                <w:color w:val="auto"/>
              </w:rPr>
            </w:pPr>
            <w:r>
              <w:rPr>
                <w:rFonts w:ascii="Arial" w:cs="Arial" w:eastAsia="Arial" w:hAnsi="Arial"/>
                <w:sz w:val="13"/>
                <w:szCs w:val="13"/>
                <w:color w:val="auto"/>
              </w:rPr>
              <w:t>650</w:t>
            </w:r>
          </w:p>
        </w:tc>
        <w:tc>
          <w:tcPr>
            <w:tcW w:w="240" w:type="dxa"/>
            <w:vAlign w:val="bottom"/>
            <w:shd w:val="clear" w:color="auto" w:fill="D7E8F5"/>
          </w:tcPr>
          <w:p>
            <w:pPr>
              <w:spacing w:after="0"/>
              <w:rPr>
                <w:sz w:val="14"/>
                <w:szCs w:val="14"/>
                <w:color w:val="auto"/>
              </w:rPr>
            </w:pPr>
          </w:p>
        </w:tc>
        <w:tc>
          <w:tcPr>
            <w:tcW w:w="820" w:type="dxa"/>
            <w:vAlign w:val="bottom"/>
            <w:shd w:val="clear" w:color="auto" w:fill="D7E8F5"/>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7E8F5"/>
          </w:tcPr>
          <w:p>
            <w:pPr>
              <w:jc w:val="right"/>
              <w:ind w:right="77"/>
              <w:spacing w:after="0"/>
              <w:rPr>
                <w:sz w:val="20"/>
                <w:szCs w:val="20"/>
                <w:color w:val="auto"/>
              </w:rPr>
            </w:pPr>
            <w:r>
              <w:rPr>
                <w:rFonts w:ascii="Arial" w:cs="Arial" w:eastAsia="Arial" w:hAnsi="Arial"/>
                <w:sz w:val="13"/>
                <w:szCs w:val="13"/>
                <w:color w:val="auto"/>
              </w:rPr>
              <w:t>42.22</w:t>
            </w:r>
          </w:p>
        </w:tc>
        <w:tc>
          <w:tcPr>
            <w:tcW w:w="860" w:type="dxa"/>
            <w:vAlign w:val="bottom"/>
            <w:shd w:val="clear" w:color="auto" w:fill="D7E8F5"/>
          </w:tcPr>
          <w:p>
            <w:pPr>
              <w:jc w:val="right"/>
              <w:ind w:right="37"/>
              <w:spacing w:after="0"/>
              <w:rPr>
                <w:sz w:val="20"/>
                <w:szCs w:val="20"/>
                <w:color w:val="auto"/>
              </w:rPr>
            </w:pPr>
            <w:r>
              <w:rPr>
                <w:rFonts w:ascii="Arial" w:cs="Arial" w:eastAsia="Arial" w:hAnsi="Arial"/>
                <w:sz w:val="13"/>
                <w:szCs w:val="13"/>
                <w:color w:val="auto"/>
              </w:rPr>
              <w:t>12/20/2026</w:t>
            </w:r>
          </w:p>
        </w:tc>
        <w:tc>
          <w:tcPr>
            <w:tcW w:w="1060" w:type="dxa"/>
            <w:vAlign w:val="bottom"/>
            <w:shd w:val="clear" w:color="auto" w:fill="D7E8F5"/>
          </w:tcPr>
          <w:p>
            <w:pPr>
              <w:spacing w:after="0"/>
              <w:rPr>
                <w:sz w:val="14"/>
                <w:szCs w:val="14"/>
                <w:color w:val="auto"/>
              </w:rPr>
            </w:pPr>
          </w:p>
        </w:tc>
        <w:tc>
          <w:tcPr>
            <w:tcW w:w="860" w:type="dxa"/>
            <w:vAlign w:val="bottom"/>
            <w:shd w:val="clear" w:color="auto" w:fill="D7E8F5"/>
          </w:tcPr>
          <w:p>
            <w:pPr>
              <w:spacing w:after="0"/>
              <w:rPr>
                <w:sz w:val="14"/>
                <w:szCs w:val="14"/>
                <w:color w:val="auto"/>
              </w:rPr>
            </w:pPr>
          </w:p>
        </w:tc>
        <w:tc>
          <w:tcPr>
            <w:tcW w:w="1000" w:type="dxa"/>
            <w:vAlign w:val="bottom"/>
            <w:shd w:val="clear" w:color="auto" w:fill="D7E8F5"/>
          </w:tcPr>
          <w:p>
            <w:pPr>
              <w:spacing w:after="0"/>
              <w:rPr>
                <w:sz w:val="14"/>
                <w:szCs w:val="14"/>
                <w:color w:val="auto"/>
              </w:rPr>
            </w:pPr>
          </w:p>
        </w:tc>
        <w:tc>
          <w:tcPr>
            <w:tcW w:w="780" w:type="dxa"/>
            <w:vAlign w:val="bottom"/>
            <w:shd w:val="clear" w:color="auto" w:fill="D7E8F5"/>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7E8F5"/>
          </w:tcPr>
          <w:p>
            <w:pPr>
              <w:spacing w:after="0"/>
              <w:rPr>
                <w:sz w:val="11"/>
                <w:szCs w:val="11"/>
                <w:color w:val="auto"/>
              </w:rPr>
            </w:pPr>
          </w:p>
        </w:tc>
        <w:tc>
          <w:tcPr>
            <w:tcW w:w="18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3/1/2018</w:t>
            </w:r>
          </w:p>
        </w:tc>
        <w:tc>
          <w:tcPr>
            <w:tcW w:w="1120" w:type="dxa"/>
            <w:vAlign w:val="bottom"/>
            <w:gridSpan w:val="2"/>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25,000</w:t>
            </w:r>
          </w:p>
        </w:tc>
        <w:tc>
          <w:tcPr>
            <w:tcW w:w="24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119.13</w:t>
            </w:r>
          </w:p>
        </w:tc>
        <w:tc>
          <w:tcPr>
            <w:tcW w:w="86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3/1/2028</w:t>
            </w:r>
          </w:p>
        </w:tc>
        <w:tc>
          <w:tcPr>
            <w:tcW w:w="106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7E8F5"/>
          </w:tcPr>
          <w:p>
            <w:pPr>
              <w:spacing w:after="0"/>
              <w:rPr>
                <w:sz w:val="11"/>
                <w:szCs w:val="11"/>
                <w:color w:val="auto"/>
              </w:rPr>
            </w:pPr>
          </w:p>
        </w:tc>
        <w:tc>
          <w:tcPr>
            <w:tcW w:w="18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3/1/2018</w:t>
            </w:r>
          </w:p>
        </w:tc>
        <w:tc>
          <w:tcPr>
            <w:tcW w:w="1120" w:type="dxa"/>
            <w:vAlign w:val="bottom"/>
            <w:gridSpan w:val="2"/>
            <w:shd w:val="clear" w:color="auto" w:fill="D7E8F5"/>
          </w:tcPr>
          <w:p>
            <w:pPr>
              <w:jc w:val="right"/>
              <w:spacing w:after="0" w:line="135" w:lineRule="exact"/>
              <w:rPr>
                <w:sz w:val="20"/>
                <w:szCs w:val="20"/>
                <w:color w:val="auto"/>
              </w:rPr>
            </w:pPr>
            <w:r>
              <w:rPr>
                <w:rFonts w:ascii="Arial" w:cs="Arial" w:eastAsia="Arial" w:hAnsi="Arial"/>
                <w:sz w:val="13"/>
                <w:szCs w:val="13"/>
                <w:color w:val="auto"/>
              </w:rPr>
              <w:t>25,000(3)</w:t>
            </w:r>
          </w:p>
        </w:tc>
        <w:tc>
          <w:tcPr>
            <w:tcW w:w="24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119.13</w:t>
            </w:r>
          </w:p>
        </w:tc>
        <w:tc>
          <w:tcPr>
            <w:tcW w:w="86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3/1/2028</w:t>
            </w:r>
          </w:p>
        </w:tc>
        <w:tc>
          <w:tcPr>
            <w:tcW w:w="106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7E8F5"/>
          </w:tcPr>
          <w:p>
            <w:pPr>
              <w:spacing w:after="0"/>
              <w:rPr>
                <w:sz w:val="11"/>
                <w:szCs w:val="11"/>
                <w:color w:val="auto"/>
              </w:rPr>
            </w:pPr>
          </w:p>
        </w:tc>
        <w:tc>
          <w:tcPr>
            <w:tcW w:w="18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2/28/2019</w:t>
            </w:r>
          </w:p>
        </w:tc>
        <w:tc>
          <w:tcPr>
            <w:tcW w:w="1120" w:type="dxa"/>
            <w:vAlign w:val="bottom"/>
            <w:gridSpan w:val="2"/>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32,500</w:t>
            </w:r>
          </w:p>
        </w:tc>
        <w:tc>
          <w:tcPr>
            <w:tcW w:w="24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85.00</w:t>
            </w:r>
          </w:p>
        </w:tc>
        <w:tc>
          <w:tcPr>
            <w:tcW w:w="86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2/28/2029</w:t>
            </w:r>
          </w:p>
        </w:tc>
        <w:tc>
          <w:tcPr>
            <w:tcW w:w="106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7E8F5"/>
          </w:tcPr>
          <w:p>
            <w:pPr>
              <w:spacing w:after="0"/>
              <w:rPr>
                <w:sz w:val="11"/>
                <w:szCs w:val="11"/>
                <w:color w:val="auto"/>
              </w:rPr>
            </w:pPr>
          </w:p>
        </w:tc>
        <w:tc>
          <w:tcPr>
            <w:tcW w:w="18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2/26/2020</w:t>
            </w:r>
          </w:p>
        </w:tc>
        <w:tc>
          <w:tcPr>
            <w:tcW w:w="1120" w:type="dxa"/>
            <w:vAlign w:val="bottom"/>
            <w:gridSpan w:val="2"/>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25,896</w:t>
            </w:r>
          </w:p>
        </w:tc>
        <w:tc>
          <w:tcPr>
            <w:tcW w:w="1060" w:type="dxa"/>
            <w:vAlign w:val="bottom"/>
            <w:gridSpan w:val="2"/>
            <w:shd w:val="clear" w:color="auto" w:fill="D7E8F5"/>
          </w:tcPr>
          <w:p>
            <w:pPr>
              <w:jc w:val="right"/>
              <w:spacing w:after="0" w:line="135" w:lineRule="exact"/>
              <w:rPr>
                <w:sz w:val="20"/>
                <w:szCs w:val="20"/>
                <w:color w:val="auto"/>
              </w:rPr>
            </w:pPr>
            <w:r>
              <w:rPr>
                <w:rFonts w:ascii="Arial" w:cs="Arial" w:eastAsia="Arial" w:hAnsi="Arial"/>
                <w:sz w:val="13"/>
                <w:szCs w:val="13"/>
                <w:color w:val="auto"/>
              </w:rPr>
              <w:t>1,727</w:t>
            </w:r>
          </w:p>
        </w:tc>
        <w:tc>
          <w:tcPr>
            <w:tcW w:w="84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118.05</w:t>
            </w:r>
          </w:p>
        </w:tc>
        <w:tc>
          <w:tcPr>
            <w:tcW w:w="86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2/25/2030</w:t>
            </w:r>
          </w:p>
        </w:tc>
        <w:tc>
          <w:tcPr>
            <w:tcW w:w="106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7E8F5"/>
          </w:tcPr>
          <w:p>
            <w:pPr>
              <w:spacing w:after="0"/>
              <w:rPr>
                <w:sz w:val="11"/>
                <w:szCs w:val="11"/>
                <w:color w:val="auto"/>
              </w:rPr>
            </w:pPr>
          </w:p>
        </w:tc>
        <w:tc>
          <w:tcPr>
            <w:tcW w:w="18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2/24/2021</w:t>
            </w:r>
          </w:p>
        </w:tc>
        <w:tc>
          <w:tcPr>
            <w:tcW w:w="220" w:type="dxa"/>
            <w:vAlign w:val="bottom"/>
            <w:shd w:val="clear" w:color="auto" w:fill="D7E8F5"/>
          </w:tcPr>
          <w:p>
            <w:pPr>
              <w:spacing w:after="0"/>
              <w:rPr>
                <w:sz w:val="11"/>
                <w:szCs w:val="11"/>
                <w:color w:val="auto"/>
              </w:rPr>
            </w:pPr>
          </w:p>
        </w:tc>
        <w:tc>
          <w:tcPr>
            <w:tcW w:w="900" w:type="dxa"/>
            <w:vAlign w:val="bottom"/>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19,800</w:t>
            </w:r>
          </w:p>
        </w:tc>
        <w:tc>
          <w:tcPr>
            <w:tcW w:w="1060" w:type="dxa"/>
            <w:vAlign w:val="bottom"/>
            <w:gridSpan w:val="2"/>
            <w:shd w:val="clear" w:color="auto" w:fill="D7E8F5"/>
          </w:tcPr>
          <w:p>
            <w:pPr>
              <w:jc w:val="right"/>
              <w:spacing w:after="0" w:line="135" w:lineRule="exact"/>
              <w:rPr>
                <w:sz w:val="20"/>
                <w:szCs w:val="20"/>
                <w:color w:val="auto"/>
              </w:rPr>
            </w:pPr>
            <w:r>
              <w:rPr>
                <w:rFonts w:ascii="Arial" w:cs="Arial" w:eastAsia="Arial" w:hAnsi="Arial"/>
                <w:sz w:val="13"/>
                <w:szCs w:val="13"/>
                <w:color w:val="auto"/>
              </w:rPr>
              <w:t>9,000</w:t>
            </w:r>
          </w:p>
        </w:tc>
        <w:tc>
          <w:tcPr>
            <w:tcW w:w="84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151.59</w:t>
            </w:r>
          </w:p>
        </w:tc>
        <w:tc>
          <w:tcPr>
            <w:tcW w:w="86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2/23/2031</w:t>
            </w:r>
          </w:p>
        </w:tc>
        <w:tc>
          <w:tcPr>
            <w:tcW w:w="106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7E8F5"/>
          </w:tcPr>
          <w:p>
            <w:pPr>
              <w:spacing w:after="0"/>
              <w:rPr>
                <w:sz w:val="11"/>
                <w:szCs w:val="11"/>
                <w:color w:val="auto"/>
              </w:rPr>
            </w:pPr>
          </w:p>
        </w:tc>
        <w:tc>
          <w:tcPr>
            <w:tcW w:w="18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2/24/2021</w:t>
            </w:r>
          </w:p>
        </w:tc>
        <w:tc>
          <w:tcPr>
            <w:tcW w:w="220" w:type="dxa"/>
            <w:vAlign w:val="bottom"/>
            <w:shd w:val="clear" w:color="auto" w:fill="D7E8F5"/>
          </w:tcPr>
          <w:p>
            <w:pPr>
              <w:spacing w:after="0"/>
              <w:rPr>
                <w:sz w:val="11"/>
                <w:szCs w:val="11"/>
                <w:color w:val="auto"/>
              </w:rPr>
            </w:pPr>
          </w:p>
        </w:tc>
        <w:tc>
          <w:tcPr>
            <w:tcW w:w="900" w:type="dxa"/>
            <w:vAlign w:val="bottom"/>
            <w:shd w:val="clear" w:color="auto" w:fill="D7E8F5"/>
          </w:tcPr>
          <w:p>
            <w:pPr>
              <w:spacing w:after="0"/>
              <w:rPr>
                <w:sz w:val="11"/>
                <w:szCs w:val="11"/>
                <w:color w:val="auto"/>
              </w:rPr>
            </w:pPr>
          </w:p>
        </w:tc>
        <w:tc>
          <w:tcPr>
            <w:tcW w:w="240" w:type="dxa"/>
            <w:vAlign w:val="bottom"/>
            <w:shd w:val="clear" w:color="auto" w:fill="D7E8F5"/>
          </w:tcPr>
          <w:p>
            <w:pPr>
              <w:spacing w:after="0"/>
              <w:rPr>
                <w:sz w:val="11"/>
                <w:szCs w:val="11"/>
                <w:color w:val="auto"/>
              </w:rPr>
            </w:pPr>
          </w:p>
        </w:tc>
        <w:tc>
          <w:tcPr>
            <w:tcW w:w="820" w:type="dxa"/>
            <w:vAlign w:val="bottom"/>
            <w:shd w:val="clear" w:color="auto" w:fill="D7E8F5"/>
          </w:tcPr>
          <w:p>
            <w:pPr>
              <w:spacing w:after="0"/>
              <w:rPr>
                <w:sz w:val="11"/>
                <w:szCs w:val="11"/>
                <w:color w:val="auto"/>
              </w:rPr>
            </w:pPr>
          </w:p>
        </w:tc>
        <w:tc>
          <w:tcPr>
            <w:tcW w:w="84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6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0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7,719(8)</w:t>
            </w:r>
          </w:p>
        </w:tc>
        <w:tc>
          <w:tcPr>
            <w:tcW w:w="78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1,477,494</w:t>
            </w:r>
          </w:p>
        </w:tc>
        <w:tc>
          <w:tcPr>
            <w:tcW w:w="0" w:type="dxa"/>
            <w:vAlign w:val="bottom"/>
          </w:tcPr>
          <w:p>
            <w:pPr>
              <w:spacing w:after="0"/>
              <w:rPr>
                <w:sz w:val="1"/>
                <w:szCs w:val="1"/>
                <w:color w:val="auto"/>
              </w:rPr>
            </w:pPr>
          </w:p>
        </w:tc>
      </w:tr>
      <w:tr>
        <w:trPr>
          <w:trHeight w:val="135"/>
        </w:trPr>
        <w:tc>
          <w:tcPr>
            <w:tcW w:w="2540" w:type="dxa"/>
            <w:vAlign w:val="bottom"/>
            <w:shd w:val="clear" w:color="auto" w:fill="D7E8F5"/>
          </w:tcPr>
          <w:p>
            <w:pPr>
              <w:spacing w:after="0"/>
              <w:rPr>
                <w:sz w:val="11"/>
                <w:szCs w:val="11"/>
                <w:color w:val="auto"/>
              </w:rPr>
            </w:pPr>
          </w:p>
        </w:tc>
        <w:tc>
          <w:tcPr>
            <w:tcW w:w="18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12/31/2021</w:t>
            </w:r>
          </w:p>
        </w:tc>
        <w:tc>
          <w:tcPr>
            <w:tcW w:w="220" w:type="dxa"/>
            <w:vAlign w:val="bottom"/>
            <w:shd w:val="clear" w:color="auto" w:fill="D7E8F5"/>
          </w:tcPr>
          <w:p>
            <w:pPr>
              <w:spacing w:after="0"/>
              <w:rPr>
                <w:sz w:val="11"/>
                <w:szCs w:val="11"/>
                <w:color w:val="auto"/>
              </w:rPr>
            </w:pPr>
          </w:p>
        </w:tc>
        <w:tc>
          <w:tcPr>
            <w:tcW w:w="900" w:type="dxa"/>
            <w:vAlign w:val="bottom"/>
            <w:shd w:val="clear" w:color="auto" w:fill="D7E8F5"/>
          </w:tcPr>
          <w:p>
            <w:pPr>
              <w:jc w:val="right"/>
              <w:ind w:right="137"/>
              <w:spacing w:after="0" w:line="135" w:lineRule="exact"/>
              <w:rPr>
                <w:sz w:val="20"/>
                <w:szCs w:val="20"/>
                <w:color w:val="auto"/>
              </w:rPr>
            </w:pPr>
            <w:r>
              <w:rPr>
                <w:rFonts w:ascii="Arial" w:cs="Arial" w:eastAsia="Arial" w:hAnsi="Arial"/>
                <w:sz w:val="13"/>
                <w:szCs w:val="13"/>
                <w:color w:val="auto"/>
              </w:rPr>
              <w:t>27,975</w:t>
            </w:r>
          </w:p>
        </w:tc>
        <w:tc>
          <w:tcPr>
            <w:tcW w:w="1060" w:type="dxa"/>
            <w:vAlign w:val="bottom"/>
            <w:gridSpan w:val="2"/>
            <w:shd w:val="clear" w:color="auto" w:fill="D7E8F5"/>
          </w:tcPr>
          <w:p>
            <w:pPr>
              <w:jc w:val="right"/>
              <w:spacing w:after="0" w:line="135" w:lineRule="exact"/>
              <w:rPr>
                <w:sz w:val="20"/>
                <w:szCs w:val="20"/>
                <w:color w:val="auto"/>
              </w:rPr>
            </w:pPr>
            <w:r>
              <w:rPr>
                <w:rFonts w:ascii="Arial" w:cs="Arial" w:eastAsia="Arial" w:hAnsi="Arial"/>
                <w:sz w:val="13"/>
                <w:szCs w:val="13"/>
                <w:color w:val="auto"/>
              </w:rPr>
              <w:t>27,974</w:t>
            </w:r>
          </w:p>
        </w:tc>
        <w:tc>
          <w:tcPr>
            <w:tcW w:w="84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169.58</w:t>
            </w:r>
          </w:p>
        </w:tc>
        <w:tc>
          <w:tcPr>
            <w:tcW w:w="86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12/30/2031</w:t>
            </w:r>
          </w:p>
        </w:tc>
        <w:tc>
          <w:tcPr>
            <w:tcW w:w="106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7E8F5"/>
          </w:tcPr>
          <w:p>
            <w:pPr>
              <w:spacing w:after="0"/>
              <w:rPr>
                <w:sz w:val="11"/>
                <w:szCs w:val="11"/>
                <w:color w:val="auto"/>
              </w:rPr>
            </w:pPr>
          </w:p>
        </w:tc>
        <w:tc>
          <w:tcPr>
            <w:tcW w:w="18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2/23/2022</w:t>
            </w:r>
          </w:p>
        </w:tc>
        <w:tc>
          <w:tcPr>
            <w:tcW w:w="220" w:type="dxa"/>
            <w:vAlign w:val="bottom"/>
            <w:shd w:val="clear" w:color="auto" w:fill="D7E8F5"/>
          </w:tcPr>
          <w:p>
            <w:pPr>
              <w:spacing w:after="0"/>
              <w:rPr>
                <w:sz w:val="11"/>
                <w:szCs w:val="11"/>
                <w:color w:val="auto"/>
              </w:rPr>
            </w:pPr>
          </w:p>
        </w:tc>
        <w:tc>
          <w:tcPr>
            <w:tcW w:w="900" w:type="dxa"/>
            <w:vAlign w:val="bottom"/>
            <w:shd w:val="clear" w:color="auto" w:fill="D7E8F5"/>
          </w:tcPr>
          <w:p>
            <w:pPr>
              <w:jc w:val="right"/>
              <w:ind w:right="137"/>
              <w:spacing w:after="0" w:line="135" w:lineRule="exact"/>
              <w:rPr>
                <w:sz w:val="20"/>
                <w:szCs w:val="20"/>
                <w:color w:val="auto"/>
              </w:rPr>
            </w:pPr>
            <w:r>
              <w:rPr>
                <w:rFonts w:ascii="Arial" w:cs="Arial" w:eastAsia="Arial" w:hAnsi="Arial"/>
                <w:sz w:val="13"/>
                <w:szCs w:val="13"/>
                <w:color w:val="auto"/>
              </w:rPr>
              <w:t>13,889</w:t>
            </w:r>
          </w:p>
        </w:tc>
        <w:tc>
          <w:tcPr>
            <w:tcW w:w="1060" w:type="dxa"/>
            <w:vAlign w:val="bottom"/>
            <w:gridSpan w:val="2"/>
            <w:shd w:val="clear" w:color="auto" w:fill="D7E8F5"/>
          </w:tcPr>
          <w:p>
            <w:pPr>
              <w:jc w:val="right"/>
              <w:spacing w:after="0" w:line="135" w:lineRule="exact"/>
              <w:rPr>
                <w:sz w:val="20"/>
                <w:szCs w:val="20"/>
                <w:color w:val="auto"/>
              </w:rPr>
            </w:pPr>
            <w:r>
              <w:rPr>
                <w:rFonts w:ascii="Arial" w:cs="Arial" w:eastAsia="Arial" w:hAnsi="Arial"/>
                <w:sz w:val="13"/>
                <w:szCs w:val="13"/>
                <w:color w:val="auto"/>
              </w:rPr>
              <w:t>17,858</w:t>
            </w:r>
          </w:p>
        </w:tc>
        <w:tc>
          <w:tcPr>
            <w:tcW w:w="84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147.47</w:t>
            </w:r>
          </w:p>
        </w:tc>
        <w:tc>
          <w:tcPr>
            <w:tcW w:w="86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2/22/2032</w:t>
            </w:r>
          </w:p>
        </w:tc>
        <w:tc>
          <w:tcPr>
            <w:tcW w:w="106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7E8F5"/>
          </w:tcPr>
          <w:p>
            <w:pPr>
              <w:spacing w:after="0"/>
              <w:rPr>
                <w:sz w:val="11"/>
                <w:szCs w:val="11"/>
                <w:color w:val="auto"/>
              </w:rPr>
            </w:pPr>
          </w:p>
        </w:tc>
        <w:tc>
          <w:tcPr>
            <w:tcW w:w="18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2/23/2022</w:t>
            </w:r>
          </w:p>
        </w:tc>
        <w:tc>
          <w:tcPr>
            <w:tcW w:w="220" w:type="dxa"/>
            <w:vAlign w:val="bottom"/>
            <w:shd w:val="clear" w:color="auto" w:fill="D7E8F5"/>
          </w:tcPr>
          <w:p>
            <w:pPr>
              <w:spacing w:after="0"/>
              <w:rPr>
                <w:sz w:val="11"/>
                <w:szCs w:val="11"/>
                <w:color w:val="auto"/>
              </w:rPr>
            </w:pPr>
          </w:p>
        </w:tc>
        <w:tc>
          <w:tcPr>
            <w:tcW w:w="900" w:type="dxa"/>
            <w:vAlign w:val="bottom"/>
            <w:shd w:val="clear" w:color="auto" w:fill="D7E8F5"/>
          </w:tcPr>
          <w:p>
            <w:pPr>
              <w:spacing w:after="0"/>
              <w:rPr>
                <w:sz w:val="11"/>
                <w:szCs w:val="11"/>
                <w:color w:val="auto"/>
              </w:rPr>
            </w:pPr>
          </w:p>
        </w:tc>
        <w:tc>
          <w:tcPr>
            <w:tcW w:w="240" w:type="dxa"/>
            <w:vAlign w:val="bottom"/>
            <w:shd w:val="clear" w:color="auto" w:fill="D7E8F5"/>
          </w:tcPr>
          <w:p>
            <w:pPr>
              <w:spacing w:after="0"/>
              <w:rPr>
                <w:sz w:val="11"/>
                <w:szCs w:val="11"/>
                <w:color w:val="auto"/>
              </w:rPr>
            </w:pPr>
          </w:p>
        </w:tc>
        <w:tc>
          <w:tcPr>
            <w:tcW w:w="820" w:type="dxa"/>
            <w:vAlign w:val="bottom"/>
            <w:shd w:val="clear" w:color="auto" w:fill="D7E8F5"/>
          </w:tcPr>
          <w:p>
            <w:pPr>
              <w:spacing w:after="0"/>
              <w:rPr>
                <w:sz w:val="11"/>
                <w:szCs w:val="11"/>
                <w:color w:val="auto"/>
              </w:rPr>
            </w:pPr>
          </w:p>
        </w:tc>
        <w:tc>
          <w:tcPr>
            <w:tcW w:w="84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6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0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33,906(9)</w:t>
            </w:r>
          </w:p>
        </w:tc>
        <w:tc>
          <w:tcPr>
            <w:tcW w:w="78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6,489,948</w:t>
            </w:r>
          </w:p>
        </w:tc>
        <w:tc>
          <w:tcPr>
            <w:tcW w:w="0" w:type="dxa"/>
            <w:vAlign w:val="bottom"/>
          </w:tcPr>
          <w:p>
            <w:pPr>
              <w:spacing w:after="0"/>
              <w:rPr>
                <w:sz w:val="1"/>
                <w:szCs w:val="1"/>
                <w:color w:val="auto"/>
              </w:rPr>
            </w:pPr>
          </w:p>
        </w:tc>
      </w:tr>
      <w:tr>
        <w:trPr>
          <w:trHeight w:val="135"/>
        </w:trPr>
        <w:tc>
          <w:tcPr>
            <w:tcW w:w="2540" w:type="dxa"/>
            <w:vAlign w:val="bottom"/>
            <w:shd w:val="clear" w:color="auto" w:fill="D7E8F5"/>
          </w:tcPr>
          <w:p>
            <w:pPr>
              <w:spacing w:after="0"/>
              <w:rPr>
                <w:sz w:val="11"/>
                <w:szCs w:val="11"/>
                <w:color w:val="auto"/>
              </w:rPr>
            </w:pPr>
          </w:p>
        </w:tc>
        <w:tc>
          <w:tcPr>
            <w:tcW w:w="18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2/27/2023</w:t>
            </w:r>
          </w:p>
        </w:tc>
        <w:tc>
          <w:tcPr>
            <w:tcW w:w="220" w:type="dxa"/>
            <w:vAlign w:val="bottom"/>
            <w:shd w:val="clear" w:color="auto" w:fill="D7E8F5"/>
          </w:tcPr>
          <w:p>
            <w:pPr>
              <w:spacing w:after="0"/>
              <w:rPr>
                <w:sz w:val="11"/>
                <w:szCs w:val="11"/>
                <w:color w:val="auto"/>
              </w:rPr>
            </w:pPr>
          </w:p>
        </w:tc>
        <w:tc>
          <w:tcPr>
            <w:tcW w:w="900" w:type="dxa"/>
            <w:vAlign w:val="bottom"/>
            <w:shd w:val="clear" w:color="auto" w:fill="D7E8F5"/>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36,775</w:t>
            </w:r>
          </w:p>
        </w:tc>
        <w:tc>
          <w:tcPr>
            <w:tcW w:w="84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190.01</w:t>
            </w:r>
          </w:p>
        </w:tc>
        <w:tc>
          <w:tcPr>
            <w:tcW w:w="86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2/26/20233</w:t>
            </w:r>
          </w:p>
        </w:tc>
        <w:tc>
          <w:tcPr>
            <w:tcW w:w="106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7E8F5"/>
          </w:tcPr>
          <w:p>
            <w:pPr>
              <w:spacing w:after="0"/>
              <w:rPr>
                <w:sz w:val="11"/>
                <w:szCs w:val="11"/>
                <w:color w:val="auto"/>
              </w:rPr>
            </w:pPr>
          </w:p>
        </w:tc>
        <w:tc>
          <w:tcPr>
            <w:tcW w:w="18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2/27/2023</w:t>
            </w:r>
          </w:p>
        </w:tc>
        <w:tc>
          <w:tcPr>
            <w:tcW w:w="220" w:type="dxa"/>
            <w:vAlign w:val="bottom"/>
            <w:shd w:val="clear" w:color="auto" w:fill="D7E8F5"/>
          </w:tcPr>
          <w:p>
            <w:pPr>
              <w:spacing w:after="0"/>
              <w:rPr>
                <w:sz w:val="11"/>
                <w:szCs w:val="11"/>
                <w:color w:val="auto"/>
              </w:rPr>
            </w:pPr>
          </w:p>
        </w:tc>
        <w:tc>
          <w:tcPr>
            <w:tcW w:w="900" w:type="dxa"/>
            <w:vAlign w:val="bottom"/>
            <w:shd w:val="clear" w:color="auto" w:fill="D7E8F5"/>
          </w:tcPr>
          <w:p>
            <w:pPr>
              <w:spacing w:after="0"/>
              <w:rPr>
                <w:sz w:val="11"/>
                <w:szCs w:val="11"/>
                <w:color w:val="auto"/>
              </w:rPr>
            </w:pPr>
          </w:p>
        </w:tc>
        <w:tc>
          <w:tcPr>
            <w:tcW w:w="240" w:type="dxa"/>
            <w:vAlign w:val="bottom"/>
            <w:shd w:val="clear" w:color="auto" w:fill="D7E8F5"/>
          </w:tcPr>
          <w:p>
            <w:pPr>
              <w:spacing w:after="0"/>
              <w:rPr>
                <w:sz w:val="11"/>
                <w:szCs w:val="11"/>
                <w:color w:val="auto"/>
              </w:rPr>
            </w:pPr>
          </w:p>
        </w:tc>
        <w:tc>
          <w:tcPr>
            <w:tcW w:w="820" w:type="dxa"/>
            <w:vAlign w:val="bottom"/>
            <w:shd w:val="clear" w:color="auto" w:fill="D7E8F5"/>
          </w:tcPr>
          <w:p>
            <w:pPr>
              <w:spacing w:after="0"/>
              <w:rPr>
                <w:sz w:val="11"/>
                <w:szCs w:val="11"/>
                <w:color w:val="auto"/>
              </w:rPr>
            </w:pPr>
          </w:p>
        </w:tc>
        <w:tc>
          <w:tcPr>
            <w:tcW w:w="84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60" w:type="dxa"/>
            <w:vAlign w:val="bottom"/>
            <w:shd w:val="clear" w:color="auto" w:fill="D7E8F5"/>
          </w:tcPr>
          <w:p>
            <w:pPr>
              <w:spacing w:after="0"/>
              <w:rPr>
                <w:sz w:val="11"/>
                <w:szCs w:val="11"/>
                <w:color w:val="auto"/>
              </w:rPr>
            </w:pPr>
          </w:p>
        </w:tc>
        <w:tc>
          <w:tcPr>
            <w:tcW w:w="860" w:type="dxa"/>
            <w:vAlign w:val="bottom"/>
            <w:shd w:val="clear" w:color="auto" w:fill="D7E8F5"/>
          </w:tcPr>
          <w:p>
            <w:pPr>
              <w:spacing w:after="0"/>
              <w:rPr>
                <w:sz w:val="11"/>
                <w:szCs w:val="11"/>
                <w:color w:val="auto"/>
              </w:rPr>
            </w:pPr>
          </w:p>
        </w:tc>
        <w:tc>
          <w:tcPr>
            <w:tcW w:w="1000" w:type="dxa"/>
            <w:vAlign w:val="bottom"/>
            <w:shd w:val="clear" w:color="auto" w:fill="D7E8F5"/>
          </w:tcPr>
          <w:p>
            <w:pPr>
              <w:jc w:val="right"/>
              <w:ind w:right="17"/>
              <w:spacing w:after="0" w:line="135" w:lineRule="exact"/>
              <w:rPr>
                <w:sz w:val="20"/>
                <w:szCs w:val="20"/>
                <w:color w:val="auto"/>
              </w:rPr>
            </w:pPr>
            <w:r>
              <w:rPr>
                <w:rFonts w:ascii="Arial" w:cs="Arial" w:eastAsia="Arial" w:hAnsi="Arial"/>
                <w:sz w:val="13"/>
                <w:szCs w:val="13"/>
                <w:color w:val="auto"/>
              </w:rPr>
              <w:t>35,525(10)</w:t>
            </w:r>
          </w:p>
        </w:tc>
        <w:tc>
          <w:tcPr>
            <w:tcW w:w="78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6,799,840</w:t>
            </w:r>
          </w:p>
        </w:tc>
        <w:tc>
          <w:tcPr>
            <w:tcW w:w="0" w:type="dxa"/>
            <w:vAlign w:val="bottom"/>
          </w:tcPr>
          <w:p>
            <w:pPr>
              <w:spacing w:after="0"/>
              <w:rPr>
                <w:sz w:val="1"/>
                <w:szCs w:val="1"/>
                <w:color w:val="auto"/>
              </w:rPr>
            </w:pPr>
          </w:p>
        </w:tc>
      </w:tr>
      <w:tr>
        <w:trPr>
          <w:trHeight w:val="200"/>
        </w:trPr>
        <w:tc>
          <w:tcPr>
            <w:tcW w:w="2540" w:type="dxa"/>
            <w:vAlign w:val="bottom"/>
            <w:tcBorders>
              <w:bottom w:val="single" w:sz="8" w:color="D7E8F5"/>
            </w:tcBorders>
            <w:shd w:val="clear" w:color="auto" w:fill="D7E8F5"/>
          </w:tcPr>
          <w:p>
            <w:pPr>
              <w:spacing w:after="0"/>
              <w:rPr>
                <w:sz w:val="17"/>
                <w:szCs w:val="17"/>
                <w:color w:val="auto"/>
              </w:rPr>
            </w:pPr>
          </w:p>
        </w:tc>
        <w:tc>
          <w:tcPr>
            <w:tcW w:w="180" w:type="dxa"/>
            <w:vAlign w:val="bottom"/>
            <w:tcBorders>
              <w:bottom w:val="single" w:sz="8" w:color="D7E8F5"/>
            </w:tcBorders>
            <w:shd w:val="clear" w:color="auto" w:fill="D7E8F5"/>
          </w:tcPr>
          <w:p>
            <w:pPr>
              <w:spacing w:after="0"/>
              <w:rPr>
                <w:sz w:val="17"/>
                <w:szCs w:val="17"/>
                <w:color w:val="auto"/>
              </w:rPr>
            </w:pPr>
          </w:p>
        </w:tc>
        <w:tc>
          <w:tcPr>
            <w:tcW w:w="72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3"/>
                <w:szCs w:val="13"/>
                <w:color w:val="auto"/>
              </w:rPr>
              <w:t>2/27/2023</w:t>
            </w:r>
          </w:p>
        </w:tc>
        <w:tc>
          <w:tcPr>
            <w:tcW w:w="220" w:type="dxa"/>
            <w:vAlign w:val="bottom"/>
            <w:tcBorders>
              <w:bottom w:val="single" w:sz="8" w:color="D7E8F5"/>
            </w:tcBorders>
            <w:shd w:val="clear" w:color="auto" w:fill="D7E8F5"/>
          </w:tcPr>
          <w:p>
            <w:pPr>
              <w:spacing w:after="0"/>
              <w:rPr>
                <w:sz w:val="17"/>
                <w:szCs w:val="17"/>
                <w:color w:val="auto"/>
              </w:rPr>
            </w:pPr>
          </w:p>
        </w:tc>
        <w:tc>
          <w:tcPr>
            <w:tcW w:w="900" w:type="dxa"/>
            <w:vAlign w:val="bottom"/>
            <w:tcBorders>
              <w:bottom w:val="single" w:sz="8" w:color="D7E8F5"/>
            </w:tcBorders>
            <w:shd w:val="clear" w:color="auto" w:fill="D7E8F5"/>
          </w:tcPr>
          <w:p>
            <w:pPr>
              <w:spacing w:after="0"/>
              <w:rPr>
                <w:sz w:val="17"/>
                <w:szCs w:val="17"/>
                <w:color w:val="auto"/>
              </w:rPr>
            </w:pPr>
          </w:p>
        </w:tc>
        <w:tc>
          <w:tcPr>
            <w:tcW w:w="240" w:type="dxa"/>
            <w:vAlign w:val="bottom"/>
            <w:tcBorders>
              <w:bottom w:val="single" w:sz="8" w:color="D7E8F5"/>
            </w:tcBorders>
            <w:shd w:val="clear" w:color="auto" w:fill="D7E8F5"/>
          </w:tcPr>
          <w:p>
            <w:pPr>
              <w:spacing w:after="0"/>
              <w:rPr>
                <w:sz w:val="17"/>
                <w:szCs w:val="17"/>
                <w:color w:val="auto"/>
              </w:rPr>
            </w:pPr>
          </w:p>
        </w:tc>
        <w:tc>
          <w:tcPr>
            <w:tcW w:w="820" w:type="dxa"/>
            <w:vAlign w:val="bottom"/>
            <w:tcBorders>
              <w:bottom w:val="single" w:sz="8" w:color="D7E8F5"/>
            </w:tcBorders>
            <w:shd w:val="clear" w:color="auto" w:fill="D7E8F5"/>
          </w:tcPr>
          <w:p>
            <w:pPr>
              <w:spacing w:after="0"/>
              <w:rPr>
                <w:sz w:val="17"/>
                <w:szCs w:val="17"/>
                <w:color w:val="auto"/>
              </w:rPr>
            </w:pPr>
          </w:p>
        </w:tc>
        <w:tc>
          <w:tcPr>
            <w:tcW w:w="840" w:type="dxa"/>
            <w:vAlign w:val="bottom"/>
            <w:tcBorders>
              <w:bottom w:val="single" w:sz="8" w:color="D7E8F5"/>
            </w:tcBorders>
            <w:shd w:val="clear" w:color="auto" w:fill="D7E8F5"/>
          </w:tcPr>
          <w:p>
            <w:pPr>
              <w:spacing w:after="0"/>
              <w:rPr>
                <w:sz w:val="17"/>
                <w:szCs w:val="17"/>
                <w:color w:val="auto"/>
              </w:rPr>
            </w:pPr>
          </w:p>
        </w:tc>
        <w:tc>
          <w:tcPr>
            <w:tcW w:w="860" w:type="dxa"/>
            <w:vAlign w:val="bottom"/>
            <w:tcBorders>
              <w:bottom w:val="single" w:sz="8" w:color="D7E8F5"/>
            </w:tcBorders>
            <w:shd w:val="clear" w:color="auto" w:fill="D7E8F5"/>
          </w:tcPr>
          <w:p>
            <w:pPr>
              <w:spacing w:after="0"/>
              <w:rPr>
                <w:sz w:val="17"/>
                <w:szCs w:val="17"/>
                <w:color w:val="auto"/>
              </w:rPr>
            </w:pPr>
          </w:p>
        </w:tc>
        <w:tc>
          <w:tcPr>
            <w:tcW w:w="1060" w:type="dxa"/>
            <w:vAlign w:val="bottom"/>
            <w:tcBorders>
              <w:bottom w:val="single" w:sz="8" w:color="D7E8F5"/>
            </w:tcBorders>
            <w:shd w:val="clear" w:color="auto" w:fill="D7E8F5"/>
          </w:tcPr>
          <w:p>
            <w:pPr>
              <w:jc w:val="right"/>
              <w:ind w:right="37"/>
              <w:spacing w:after="0"/>
              <w:rPr>
                <w:sz w:val="20"/>
                <w:szCs w:val="20"/>
                <w:color w:val="auto"/>
              </w:rPr>
            </w:pPr>
            <w:r>
              <w:rPr>
                <w:rFonts w:ascii="Arial" w:cs="Arial" w:eastAsia="Arial" w:hAnsi="Arial"/>
                <w:sz w:val="13"/>
                <w:szCs w:val="13"/>
                <w:color w:val="auto"/>
              </w:rPr>
              <w:t>17,763(11)</w:t>
            </w:r>
          </w:p>
        </w:tc>
        <w:tc>
          <w:tcPr>
            <w:tcW w:w="860" w:type="dxa"/>
            <w:vAlign w:val="bottom"/>
            <w:tcBorders>
              <w:bottom w:val="single" w:sz="8" w:color="D7E8F5"/>
            </w:tcBorders>
            <w:shd w:val="clear" w:color="auto" w:fill="D7E8F5"/>
          </w:tcPr>
          <w:p>
            <w:pPr>
              <w:jc w:val="right"/>
              <w:ind w:right="37"/>
              <w:spacing w:after="0"/>
              <w:rPr>
                <w:sz w:val="20"/>
                <w:szCs w:val="20"/>
                <w:color w:val="auto"/>
              </w:rPr>
            </w:pPr>
            <w:r>
              <w:rPr>
                <w:rFonts w:ascii="Arial" w:cs="Arial" w:eastAsia="Arial" w:hAnsi="Arial"/>
                <w:sz w:val="13"/>
                <w:szCs w:val="13"/>
                <w:color w:val="auto"/>
              </w:rPr>
              <w:t>3,400,016</w:t>
            </w:r>
          </w:p>
        </w:tc>
        <w:tc>
          <w:tcPr>
            <w:tcW w:w="1000" w:type="dxa"/>
            <w:vAlign w:val="bottom"/>
            <w:tcBorders>
              <w:bottom w:val="single" w:sz="8" w:color="D7E8F5"/>
            </w:tcBorders>
            <w:shd w:val="clear" w:color="auto" w:fill="D7E8F5"/>
          </w:tcPr>
          <w:p>
            <w:pPr>
              <w:spacing w:after="0"/>
              <w:rPr>
                <w:sz w:val="17"/>
                <w:szCs w:val="17"/>
                <w:color w:val="auto"/>
              </w:rPr>
            </w:pPr>
          </w:p>
        </w:tc>
        <w:tc>
          <w:tcPr>
            <w:tcW w:w="780" w:type="dxa"/>
            <w:vAlign w:val="bottom"/>
            <w:tcBorders>
              <w:bottom w:val="single" w:sz="8" w:color="D7E8F5"/>
            </w:tcBorders>
            <w:shd w:val="clear" w:color="auto" w:fill="D7E8F5"/>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80"/>
              <w:spacing w:after="0"/>
              <w:rPr>
                <w:sz w:val="20"/>
                <w:szCs w:val="20"/>
                <w:color w:val="auto"/>
              </w:rPr>
            </w:pPr>
            <w:r>
              <w:rPr>
                <w:rFonts w:ascii="Arial" w:cs="Arial" w:eastAsia="Arial" w:hAnsi="Arial"/>
                <w:sz w:val="13"/>
                <w:szCs w:val="13"/>
                <w:color w:val="auto"/>
              </w:rPr>
              <w:t>Jeffrey V. Poulton</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8/1/2019</w:t>
            </w:r>
          </w:p>
        </w:tc>
        <w:tc>
          <w:tcPr>
            <w:tcW w:w="1120" w:type="dxa"/>
            <w:vAlign w:val="bottom"/>
            <w:gridSpan w:val="2"/>
          </w:tcPr>
          <w:p>
            <w:pPr>
              <w:jc w:val="right"/>
              <w:ind w:right="117"/>
              <w:spacing w:after="0"/>
              <w:rPr>
                <w:sz w:val="20"/>
                <w:szCs w:val="20"/>
                <w:color w:val="auto"/>
              </w:rPr>
            </w:pPr>
            <w:r>
              <w:rPr>
                <w:rFonts w:ascii="Arial" w:cs="Arial" w:eastAsia="Arial" w:hAnsi="Arial"/>
                <w:sz w:val="13"/>
                <w:szCs w:val="13"/>
                <w:color w:val="auto"/>
              </w:rPr>
              <w:t>125,000</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75.36</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8/1/2029</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2/26/2020</w:t>
            </w:r>
          </w:p>
        </w:tc>
        <w:tc>
          <w:tcPr>
            <w:tcW w:w="112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23,019</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1,535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118.05</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2/25/2030</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2/24/2021</w:t>
            </w:r>
          </w:p>
        </w:tc>
        <w:tc>
          <w:tcPr>
            <w:tcW w:w="112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15,950</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151.59</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2/23/2031</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2/24/2021</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6,217(8)</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1,189,996</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2/23/2022</w:t>
            </w:r>
          </w:p>
        </w:tc>
        <w:tc>
          <w:tcPr>
            <w:tcW w:w="112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8,056</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10,357</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147.47</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2/22/2032</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2/23/2022</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6,556(9)</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1,254,884</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2/27/2023</w:t>
            </w:r>
          </w:p>
        </w:tc>
        <w:tc>
          <w:tcPr>
            <w:tcW w:w="220" w:type="dxa"/>
            <w:vAlign w:val="bottom"/>
          </w:tcPr>
          <w:p>
            <w:pPr>
              <w:spacing w:after="0"/>
              <w:rPr>
                <w:sz w:val="11"/>
                <w:szCs w:val="11"/>
                <w:color w:val="auto"/>
              </w:rPr>
            </w:pP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11,850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190.01</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2/26/2033</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2/27/2023</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11,447(10)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2,191,070</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2/27/2023</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5,724(11)</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1,095,631</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32"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2460" w:type="dxa"/>
            <w:vAlign w:val="bottom"/>
            <w:shd w:val="clear" w:color="auto" w:fill="1D3060"/>
          </w:tcPr>
          <w:p>
            <w:pPr>
              <w:spacing w:after="0"/>
              <w:rPr>
                <w:sz w:val="19"/>
                <w:szCs w:val="19"/>
                <w:color w:val="auto"/>
              </w:rPr>
            </w:pPr>
          </w:p>
        </w:tc>
        <w:tc>
          <w:tcPr>
            <w:tcW w:w="160" w:type="dxa"/>
            <w:vAlign w:val="bottom"/>
            <w:shd w:val="clear" w:color="auto" w:fill="1D3060"/>
          </w:tcPr>
          <w:p>
            <w:pPr>
              <w:spacing w:after="0"/>
              <w:rPr>
                <w:sz w:val="19"/>
                <w:szCs w:val="19"/>
                <w:color w:val="auto"/>
              </w:rPr>
            </w:pPr>
          </w:p>
        </w:tc>
        <w:tc>
          <w:tcPr>
            <w:tcW w:w="720" w:type="dxa"/>
            <w:vAlign w:val="bottom"/>
            <w:shd w:val="clear" w:color="auto" w:fill="1D3060"/>
          </w:tcPr>
          <w:p>
            <w:pPr>
              <w:spacing w:after="0"/>
              <w:rPr>
                <w:sz w:val="19"/>
                <w:szCs w:val="19"/>
                <w:color w:val="auto"/>
              </w:rPr>
            </w:pPr>
          </w:p>
        </w:tc>
        <w:tc>
          <w:tcPr>
            <w:tcW w:w="180" w:type="dxa"/>
            <w:vAlign w:val="bottom"/>
            <w:shd w:val="clear" w:color="auto" w:fill="1D3060"/>
          </w:tcPr>
          <w:p>
            <w:pPr>
              <w:spacing w:after="0"/>
              <w:rPr>
                <w:sz w:val="19"/>
                <w:szCs w:val="19"/>
                <w:color w:val="auto"/>
              </w:rPr>
            </w:pPr>
          </w:p>
        </w:tc>
        <w:tc>
          <w:tcPr>
            <w:tcW w:w="60" w:type="dxa"/>
            <w:vAlign w:val="bottom"/>
            <w:shd w:val="clear" w:color="auto" w:fill="1D3060"/>
          </w:tcPr>
          <w:p>
            <w:pPr>
              <w:spacing w:after="0"/>
              <w:rPr>
                <w:sz w:val="19"/>
                <w:szCs w:val="19"/>
                <w:color w:val="auto"/>
              </w:rPr>
            </w:pPr>
          </w:p>
        </w:tc>
        <w:tc>
          <w:tcPr>
            <w:tcW w:w="880" w:type="dxa"/>
            <w:vAlign w:val="bottom"/>
            <w:shd w:val="clear" w:color="auto" w:fill="1D3060"/>
          </w:tcPr>
          <w:p>
            <w:pPr>
              <w:spacing w:after="0"/>
              <w:rPr>
                <w:sz w:val="19"/>
                <w:szCs w:val="19"/>
                <w:color w:val="auto"/>
              </w:rPr>
            </w:pPr>
          </w:p>
        </w:tc>
        <w:tc>
          <w:tcPr>
            <w:tcW w:w="260" w:type="dxa"/>
            <w:vAlign w:val="bottom"/>
            <w:shd w:val="clear" w:color="auto" w:fill="1D3060"/>
          </w:tcPr>
          <w:p>
            <w:pPr>
              <w:spacing w:after="0"/>
              <w:rPr>
                <w:sz w:val="19"/>
                <w:szCs w:val="19"/>
                <w:color w:val="auto"/>
              </w:rPr>
            </w:pPr>
          </w:p>
        </w:tc>
        <w:tc>
          <w:tcPr>
            <w:tcW w:w="1660" w:type="dxa"/>
            <w:vAlign w:val="bottom"/>
            <w:gridSpan w:val="3"/>
            <w:shd w:val="clear" w:color="auto" w:fill="1D3060"/>
          </w:tcPr>
          <w:p>
            <w:pPr>
              <w:jc w:val="right"/>
              <w:ind w:right="437"/>
              <w:spacing w:after="0"/>
              <w:rPr>
                <w:sz w:val="20"/>
                <w:szCs w:val="20"/>
                <w:color w:val="auto"/>
              </w:rPr>
            </w:pPr>
            <w:r>
              <w:rPr>
                <w:rFonts w:ascii="Arial" w:cs="Arial" w:eastAsia="Arial" w:hAnsi="Arial"/>
                <w:sz w:val="13"/>
                <w:szCs w:val="13"/>
                <w:b w:val="1"/>
                <w:bCs w:val="1"/>
                <w:color w:val="FFFFFF"/>
              </w:rPr>
              <w:t>Option Awards (1)</w:t>
            </w:r>
          </w:p>
        </w:tc>
        <w:tc>
          <w:tcPr>
            <w:tcW w:w="900" w:type="dxa"/>
            <w:vAlign w:val="bottom"/>
            <w:shd w:val="clear" w:color="auto" w:fill="1D3060"/>
          </w:tcPr>
          <w:p>
            <w:pPr>
              <w:spacing w:after="0"/>
              <w:rPr>
                <w:sz w:val="19"/>
                <w:szCs w:val="19"/>
                <w:color w:val="auto"/>
              </w:rPr>
            </w:pPr>
          </w:p>
        </w:tc>
        <w:tc>
          <w:tcPr>
            <w:tcW w:w="1080" w:type="dxa"/>
            <w:vAlign w:val="bottom"/>
            <w:shd w:val="clear" w:color="auto" w:fill="1D3060"/>
          </w:tcPr>
          <w:p>
            <w:pPr>
              <w:spacing w:after="0"/>
              <w:rPr>
                <w:sz w:val="19"/>
                <w:szCs w:val="19"/>
                <w:color w:val="auto"/>
              </w:rPr>
            </w:pPr>
          </w:p>
        </w:tc>
        <w:tc>
          <w:tcPr>
            <w:tcW w:w="1880" w:type="dxa"/>
            <w:vAlign w:val="bottom"/>
            <w:gridSpan w:val="2"/>
            <w:shd w:val="clear" w:color="auto" w:fill="1D3060"/>
          </w:tcPr>
          <w:p>
            <w:pPr>
              <w:jc w:val="right"/>
              <w:ind w:right="517"/>
              <w:spacing w:after="0"/>
              <w:rPr>
                <w:sz w:val="20"/>
                <w:szCs w:val="20"/>
                <w:color w:val="auto"/>
              </w:rPr>
            </w:pPr>
            <w:r>
              <w:rPr>
                <w:rFonts w:ascii="Arial" w:cs="Arial" w:eastAsia="Arial" w:hAnsi="Arial"/>
                <w:sz w:val="13"/>
                <w:szCs w:val="13"/>
                <w:b w:val="1"/>
                <w:bCs w:val="1"/>
                <w:color w:val="FFFFFF"/>
              </w:rPr>
              <w:t>Stock Awards (2)</w:t>
            </w:r>
          </w:p>
        </w:tc>
        <w:tc>
          <w:tcPr>
            <w:tcW w:w="780" w:type="dxa"/>
            <w:vAlign w:val="bottom"/>
            <w:shd w:val="clear" w:color="auto" w:fill="1D3060"/>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460" w:type="dxa"/>
            <w:vAlign w:val="bottom"/>
            <w:shd w:val="clear" w:color="auto" w:fill="1D3060"/>
          </w:tcPr>
          <w:p>
            <w:pPr>
              <w:spacing w:after="0"/>
              <w:rPr>
                <w:sz w:val="16"/>
                <w:szCs w:val="16"/>
                <w:color w:val="auto"/>
              </w:rPr>
            </w:pPr>
          </w:p>
        </w:tc>
        <w:tc>
          <w:tcPr>
            <w:tcW w:w="160" w:type="dxa"/>
            <w:vAlign w:val="bottom"/>
            <w:shd w:val="clear" w:color="auto" w:fill="1D3060"/>
          </w:tcPr>
          <w:p>
            <w:pPr>
              <w:spacing w:after="0"/>
              <w:rPr>
                <w:sz w:val="16"/>
                <w:szCs w:val="16"/>
                <w:color w:val="auto"/>
              </w:rPr>
            </w:pPr>
          </w:p>
        </w:tc>
        <w:tc>
          <w:tcPr>
            <w:tcW w:w="720" w:type="dxa"/>
            <w:vAlign w:val="bottom"/>
            <w:shd w:val="clear" w:color="auto" w:fill="1D3060"/>
          </w:tcPr>
          <w:p>
            <w:pPr>
              <w:spacing w:after="0"/>
              <w:rPr>
                <w:sz w:val="16"/>
                <w:szCs w:val="16"/>
                <w:color w:val="auto"/>
              </w:rPr>
            </w:pPr>
          </w:p>
        </w:tc>
        <w:tc>
          <w:tcPr>
            <w:tcW w:w="180" w:type="dxa"/>
            <w:vAlign w:val="bottom"/>
            <w:shd w:val="clear" w:color="auto" w:fill="1D3060"/>
          </w:tcPr>
          <w:p>
            <w:pPr>
              <w:spacing w:after="0"/>
              <w:rPr>
                <w:sz w:val="16"/>
                <w:szCs w:val="16"/>
                <w:color w:val="auto"/>
              </w:rPr>
            </w:pPr>
          </w:p>
        </w:tc>
        <w:tc>
          <w:tcPr>
            <w:tcW w:w="60" w:type="dxa"/>
            <w:vAlign w:val="bottom"/>
            <w:shd w:val="clear" w:color="auto" w:fill="1D3060"/>
          </w:tcPr>
          <w:p>
            <w:pPr>
              <w:spacing w:after="0"/>
              <w:rPr>
                <w:sz w:val="16"/>
                <w:szCs w:val="16"/>
                <w:color w:val="auto"/>
              </w:rPr>
            </w:pPr>
          </w:p>
        </w:tc>
        <w:tc>
          <w:tcPr>
            <w:tcW w:w="880" w:type="dxa"/>
            <w:vAlign w:val="bottom"/>
            <w:shd w:val="clear" w:color="auto" w:fill="1D3060"/>
          </w:tcPr>
          <w:p>
            <w:pPr>
              <w:spacing w:after="0"/>
              <w:rPr>
                <w:sz w:val="16"/>
                <w:szCs w:val="16"/>
                <w:color w:val="auto"/>
              </w:rPr>
            </w:pPr>
          </w:p>
        </w:tc>
        <w:tc>
          <w:tcPr>
            <w:tcW w:w="260" w:type="dxa"/>
            <w:vAlign w:val="bottom"/>
            <w:shd w:val="clear" w:color="auto" w:fill="1D3060"/>
          </w:tcPr>
          <w:p>
            <w:pPr>
              <w:spacing w:after="0"/>
              <w:rPr>
                <w:sz w:val="16"/>
                <w:szCs w:val="16"/>
                <w:color w:val="auto"/>
              </w:rPr>
            </w:pPr>
          </w:p>
        </w:tc>
        <w:tc>
          <w:tcPr>
            <w:tcW w:w="820" w:type="dxa"/>
            <w:vAlign w:val="bottom"/>
            <w:shd w:val="clear" w:color="auto" w:fill="1D3060"/>
          </w:tcPr>
          <w:p>
            <w:pPr>
              <w:spacing w:after="0"/>
              <w:rPr>
                <w:sz w:val="16"/>
                <w:szCs w:val="16"/>
                <w:color w:val="auto"/>
              </w:rPr>
            </w:pPr>
          </w:p>
        </w:tc>
        <w:tc>
          <w:tcPr>
            <w:tcW w:w="200" w:type="dxa"/>
            <w:vAlign w:val="bottom"/>
            <w:shd w:val="clear" w:color="auto" w:fill="1D3060"/>
          </w:tcPr>
          <w:p>
            <w:pPr>
              <w:spacing w:after="0"/>
              <w:rPr>
                <w:sz w:val="16"/>
                <w:szCs w:val="16"/>
                <w:color w:val="auto"/>
              </w:rPr>
            </w:pPr>
          </w:p>
        </w:tc>
        <w:tc>
          <w:tcPr>
            <w:tcW w:w="640" w:type="dxa"/>
            <w:vAlign w:val="bottom"/>
            <w:shd w:val="clear" w:color="auto" w:fill="1D3060"/>
          </w:tcPr>
          <w:p>
            <w:pPr>
              <w:spacing w:after="0"/>
              <w:rPr>
                <w:sz w:val="16"/>
                <w:szCs w:val="16"/>
                <w:color w:val="auto"/>
              </w:rPr>
            </w:pPr>
          </w:p>
        </w:tc>
        <w:tc>
          <w:tcPr>
            <w:tcW w:w="900" w:type="dxa"/>
            <w:vAlign w:val="bottom"/>
            <w:shd w:val="clear" w:color="auto" w:fill="1D3060"/>
          </w:tcPr>
          <w:p>
            <w:pPr>
              <w:spacing w:after="0"/>
              <w:rPr>
                <w:sz w:val="16"/>
                <w:szCs w:val="16"/>
                <w:color w:val="auto"/>
              </w:rPr>
            </w:pPr>
          </w:p>
        </w:tc>
        <w:tc>
          <w:tcPr>
            <w:tcW w:w="1080" w:type="dxa"/>
            <w:vAlign w:val="bottom"/>
            <w:shd w:val="clear" w:color="auto" w:fill="1D3060"/>
          </w:tcPr>
          <w:p>
            <w:pPr>
              <w:spacing w:after="0"/>
              <w:rPr>
                <w:sz w:val="16"/>
                <w:szCs w:val="16"/>
                <w:color w:val="auto"/>
              </w:rPr>
            </w:pPr>
          </w:p>
        </w:tc>
        <w:tc>
          <w:tcPr>
            <w:tcW w:w="880" w:type="dxa"/>
            <w:vAlign w:val="bottom"/>
            <w:shd w:val="clear" w:color="auto" w:fill="1D3060"/>
          </w:tcPr>
          <w:p>
            <w:pPr>
              <w:spacing w:after="0"/>
              <w:rPr>
                <w:sz w:val="16"/>
                <w:szCs w:val="16"/>
                <w:color w:val="auto"/>
              </w:rPr>
            </w:pPr>
          </w:p>
        </w:tc>
        <w:tc>
          <w:tcPr>
            <w:tcW w:w="1000" w:type="dxa"/>
            <w:vAlign w:val="bottom"/>
            <w:vMerge w:val="restart"/>
            <w:shd w:val="clear" w:color="auto" w:fill="1D3060"/>
          </w:tcPr>
          <w:p>
            <w:pPr>
              <w:jc w:val="center"/>
              <w:ind w:right="117"/>
              <w:spacing w:after="0"/>
              <w:rPr>
                <w:sz w:val="20"/>
                <w:szCs w:val="20"/>
                <w:color w:val="auto"/>
              </w:rPr>
            </w:pPr>
            <w:r>
              <w:rPr>
                <w:rFonts w:ascii="Arial" w:cs="Arial" w:eastAsia="Arial" w:hAnsi="Arial"/>
                <w:sz w:val="13"/>
                <w:szCs w:val="13"/>
                <w:b w:val="1"/>
                <w:bCs w:val="1"/>
                <w:color w:val="FFFFFF"/>
                <w:w w:val="95"/>
              </w:rPr>
              <w:t>Equity</w:t>
            </w:r>
          </w:p>
        </w:tc>
        <w:tc>
          <w:tcPr>
            <w:tcW w:w="78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6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26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200" w:type="dxa"/>
            <w:vAlign w:val="bottom"/>
            <w:shd w:val="clear" w:color="auto" w:fill="1D3060"/>
          </w:tcPr>
          <w:p>
            <w:pPr>
              <w:spacing w:after="0"/>
              <w:rPr>
                <w:sz w:val="11"/>
                <w:szCs w:val="11"/>
                <w:color w:val="auto"/>
              </w:rPr>
            </w:pPr>
          </w:p>
        </w:tc>
        <w:tc>
          <w:tcPr>
            <w:tcW w:w="64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108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1000" w:type="dxa"/>
            <w:vAlign w:val="bottom"/>
            <w:vMerge w:val="continue"/>
            <w:shd w:val="clear" w:color="auto" w:fill="1D3060"/>
          </w:tcPr>
          <w:p>
            <w:pPr>
              <w:spacing w:after="0"/>
              <w:rPr>
                <w:sz w:val="11"/>
                <w:szCs w:val="11"/>
                <w:color w:val="auto"/>
              </w:rPr>
            </w:pP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Incentive</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6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26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200" w:type="dxa"/>
            <w:vAlign w:val="bottom"/>
            <w:shd w:val="clear" w:color="auto" w:fill="1D3060"/>
          </w:tcPr>
          <w:p>
            <w:pPr>
              <w:spacing w:after="0"/>
              <w:rPr>
                <w:sz w:val="11"/>
                <w:szCs w:val="11"/>
                <w:color w:val="auto"/>
              </w:rPr>
            </w:pPr>
          </w:p>
        </w:tc>
        <w:tc>
          <w:tcPr>
            <w:tcW w:w="64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108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5"/>
              </w:rPr>
              <w:t>Incentive</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4"/>
              </w:rPr>
              <w:t>Plan</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6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26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200" w:type="dxa"/>
            <w:vAlign w:val="bottom"/>
            <w:shd w:val="clear" w:color="auto" w:fill="1D3060"/>
          </w:tcPr>
          <w:p>
            <w:pPr>
              <w:spacing w:after="0"/>
              <w:rPr>
                <w:sz w:val="11"/>
                <w:szCs w:val="11"/>
                <w:color w:val="auto"/>
              </w:rPr>
            </w:pPr>
          </w:p>
        </w:tc>
        <w:tc>
          <w:tcPr>
            <w:tcW w:w="64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108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4"/>
              </w:rPr>
              <w:t>Plan</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6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26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200" w:type="dxa"/>
            <w:vAlign w:val="bottom"/>
            <w:shd w:val="clear" w:color="auto" w:fill="1D3060"/>
          </w:tcPr>
          <w:p>
            <w:pPr>
              <w:spacing w:after="0"/>
              <w:rPr>
                <w:sz w:val="11"/>
                <w:szCs w:val="11"/>
                <w:color w:val="auto"/>
              </w:rPr>
            </w:pPr>
          </w:p>
        </w:tc>
        <w:tc>
          <w:tcPr>
            <w:tcW w:w="64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108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7"/>
              </w:rPr>
              <w:t>Awards:</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Market</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6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26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200" w:type="dxa"/>
            <w:vAlign w:val="bottom"/>
            <w:shd w:val="clear" w:color="auto" w:fill="1D3060"/>
          </w:tcPr>
          <w:p>
            <w:pPr>
              <w:spacing w:after="0"/>
              <w:rPr>
                <w:sz w:val="11"/>
                <w:szCs w:val="11"/>
                <w:color w:val="auto"/>
              </w:rPr>
            </w:pPr>
          </w:p>
        </w:tc>
        <w:tc>
          <w:tcPr>
            <w:tcW w:w="64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108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3"/>
              </w:rPr>
              <w:t>Number</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6"/>
              </w:rPr>
              <w:t>or Payout</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6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26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200" w:type="dxa"/>
            <w:vAlign w:val="bottom"/>
            <w:shd w:val="clear" w:color="auto" w:fill="1D3060"/>
          </w:tcPr>
          <w:p>
            <w:pPr>
              <w:spacing w:after="0"/>
              <w:rPr>
                <w:sz w:val="11"/>
                <w:szCs w:val="11"/>
                <w:color w:val="auto"/>
              </w:rPr>
            </w:pPr>
          </w:p>
        </w:tc>
        <w:tc>
          <w:tcPr>
            <w:tcW w:w="64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108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1000" w:type="dxa"/>
            <w:vAlign w:val="bottom"/>
            <w:shd w:val="clear" w:color="auto" w:fill="1D3060"/>
          </w:tcPr>
          <w:p>
            <w:pPr>
              <w:jc w:val="center"/>
              <w:ind w:right="137"/>
              <w:spacing w:after="0" w:line="135" w:lineRule="exact"/>
              <w:rPr>
                <w:sz w:val="20"/>
                <w:szCs w:val="20"/>
                <w:color w:val="auto"/>
              </w:rPr>
            </w:pPr>
            <w:r>
              <w:rPr>
                <w:rFonts w:ascii="Arial" w:cs="Arial" w:eastAsia="Arial" w:hAnsi="Arial"/>
                <w:sz w:val="13"/>
                <w:szCs w:val="13"/>
                <w:b w:val="1"/>
                <w:bCs w:val="1"/>
                <w:color w:val="FFFFFF"/>
                <w:w w:val="97"/>
              </w:rPr>
              <w:t>of</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6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26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200" w:type="dxa"/>
            <w:vAlign w:val="bottom"/>
            <w:shd w:val="clear" w:color="auto" w:fill="1D3060"/>
          </w:tcPr>
          <w:p>
            <w:pPr>
              <w:spacing w:after="0"/>
              <w:rPr>
                <w:sz w:val="11"/>
                <w:szCs w:val="11"/>
                <w:color w:val="auto"/>
              </w:rPr>
            </w:pPr>
          </w:p>
        </w:tc>
        <w:tc>
          <w:tcPr>
            <w:tcW w:w="64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1080" w:type="dxa"/>
            <w:vAlign w:val="bottom"/>
            <w:vMerge w:val="restart"/>
            <w:shd w:val="clear" w:color="auto" w:fill="1D3060"/>
          </w:tcPr>
          <w:p>
            <w:pPr>
              <w:jc w:val="center"/>
              <w:ind w:right="157"/>
              <w:spacing w:after="0"/>
              <w:rPr>
                <w:sz w:val="20"/>
                <w:szCs w:val="20"/>
                <w:color w:val="auto"/>
              </w:rPr>
            </w:pPr>
            <w:r>
              <w:rPr>
                <w:rFonts w:ascii="Arial" w:cs="Arial" w:eastAsia="Arial" w:hAnsi="Arial"/>
                <w:sz w:val="13"/>
                <w:szCs w:val="13"/>
                <w:b w:val="1"/>
                <w:bCs w:val="1"/>
                <w:color w:val="FFFFFF"/>
                <w:w w:val="95"/>
              </w:rPr>
              <w:t>Number of</w:t>
            </w:r>
          </w:p>
        </w:tc>
        <w:tc>
          <w:tcPr>
            <w:tcW w:w="880" w:type="dxa"/>
            <w:vAlign w:val="bottom"/>
            <w:vMerge w:val="restart"/>
            <w:shd w:val="clear" w:color="auto" w:fill="1D3060"/>
          </w:tcPr>
          <w:p>
            <w:pPr>
              <w:jc w:val="center"/>
              <w:spacing w:after="0"/>
              <w:rPr>
                <w:sz w:val="20"/>
                <w:szCs w:val="20"/>
                <w:color w:val="auto"/>
              </w:rPr>
            </w:pPr>
            <w:r>
              <w:rPr>
                <w:rFonts w:ascii="Arial" w:cs="Arial" w:eastAsia="Arial" w:hAnsi="Arial"/>
                <w:sz w:val="13"/>
                <w:szCs w:val="13"/>
                <w:b w:val="1"/>
                <w:bCs w:val="1"/>
                <w:color w:val="FFFFFF"/>
                <w:w w:val="95"/>
              </w:rPr>
              <w:t>Market</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6"/>
              </w:rPr>
              <w:t>Unearned</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6"/>
              </w:rPr>
              <w:t>Unearned</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60" w:type="dxa"/>
            <w:vAlign w:val="bottom"/>
            <w:shd w:val="clear" w:color="auto" w:fill="1D3060"/>
          </w:tcPr>
          <w:p>
            <w:pPr>
              <w:spacing w:after="0"/>
              <w:rPr>
                <w:sz w:val="11"/>
                <w:szCs w:val="11"/>
                <w:color w:val="auto"/>
              </w:rPr>
            </w:pPr>
          </w:p>
        </w:tc>
        <w:tc>
          <w:tcPr>
            <w:tcW w:w="880" w:type="dxa"/>
            <w:vAlign w:val="bottom"/>
            <w:shd w:val="clear" w:color="auto" w:fill="1D3060"/>
          </w:tcPr>
          <w:p>
            <w:pPr>
              <w:spacing w:after="0"/>
              <w:rPr>
                <w:sz w:val="11"/>
                <w:szCs w:val="11"/>
                <w:color w:val="auto"/>
              </w:rPr>
            </w:pPr>
          </w:p>
        </w:tc>
        <w:tc>
          <w:tcPr>
            <w:tcW w:w="260" w:type="dxa"/>
            <w:vAlign w:val="bottom"/>
            <w:shd w:val="clear" w:color="auto" w:fill="1D3060"/>
          </w:tcPr>
          <w:p>
            <w:pPr>
              <w:spacing w:after="0"/>
              <w:rPr>
                <w:sz w:val="11"/>
                <w:szCs w:val="11"/>
                <w:color w:val="auto"/>
              </w:rPr>
            </w:pPr>
          </w:p>
        </w:tc>
        <w:tc>
          <w:tcPr>
            <w:tcW w:w="820" w:type="dxa"/>
            <w:vAlign w:val="bottom"/>
            <w:shd w:val="clear" w:color="auto" w:fill="1D3060"/>
          </w:tcPr>
          <w:p>
            <w:pPr>
              <w:spacing w:after="0"/>
              <w:rPr>
                <w:sz w:val="11"/>
                <w:szCs w:val="11"/>
                <w:color w:val="auto"/>
              </w:rPr>
            </w:pPr>
          </w:p>
        </w:tc>
        <w:tc>
          <w:tcPr>
            <w:tcW w:w="200" w:type="dxa"/>
            <w:vAlign w:val="bottom"/>
            <w:shd w:val="clear" w:color="auto" w:fill="1D3060"/>
          </w:tcPr>
          <w:p>
            <w:pPr>
              <w:spacing w:after="0"/>
              <w:rPr>
                <w:sz w:val="11"/>
                <w:szCs w:val="11"/>
                <w:color w:val="auto"/>
              </w:rPr>
            </w:pPr>
          </w:p>
        </w:tc>
        <w:tc>
          <w:tcPr>
            <w:tcW w:w="64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1080" w:type="dxa"/>
            <w:vAlign w:val="bottom"/>
            <w:vMerge w:val="continue"/>
            <w:shd w:val="clear" w:color="auto" w:fill="1D3060"/>
          </w:tcPr>
          <w:p>
            <w:pPr>
              <w:spacing w:after="0"/>
              <w:rPr>
                <w:sz w:val="11"/>
                <w:szCs w:val="11"/>
                <w:color w:val="auto"/>
              </w:rPr>
            </w:pPr>
          </w:p>
        </w:tc>
        <w:tc>
          <w:tcPr>
            <w:tcW w:w="880" w:type="dxa"/>
            <w:vAlign w:val="bottom"/>
            <w:vMerge w:val="continue"/>
            <w:shd w:val="clear" w:color="auto" w:fill="1D3060"/>
          </w:tcPr>
          <w:p>
            <w:pPr>
              <w:spacing w:after="0"/>
              <w:rPr>
                <w:sz w:val="11"/>
                <w:szCs w:val="11"/>
                <w:color w:val="auto"/>
              </w:rPr>
            </w:pP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7"/>
              </w:rPr>
              <w:t>Shares,</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7"/>
              </w:rPr>
              <w:t>Shares,</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940" w:type="dxa"/>
            <w:vAlign w:val="bottom"/>
            <w:gridSpan w:val="2"/>
            <w:vMerge w:val="restart"/>
            <w:shd w:val="clear" w:color="auto" w:fill="1D3060"/>
          </w:tcPr>
          <w:p>
            <w:pPr>
              <w:jc w:val="center"/>
              <w:ind w:right="117"/>
              <w:spacing w:after="0"/>
              <w:rPr>
                <w:sz w:val="20"/>
                <w:szCs w:val="20"/>
                <w:color w:val="auto"/>
              </w:rPr>
            </w:pPr>
            <w:r>
              <w:rPr>
                <w:rFonts w:ascii="Arial" w:cs="Arial" w:eastAsia="Arial" w:hAnsi="Arial"/>
                <w:sz w:val="13"/>
                <w:szCs w:val="13"/>
                <w:b w:val="1"/>
                <w:bCs w:val="1"/>
                <w:color w:val="FFFFFF"/>
                <w:w w:val="98"/>
              </w:rPr>
              <w:t>Number of</w:t>
            </w:r>
          </w:p>
        </w:tc>
        <w:tc>
          <w:tcPr>
            <w:tcW w:w="260" w:type="dxa"/>
            <w:vAlign w:val="bottom"/>
            <w:shd w:val="clear" w:color="auto" w:fill="1D3060"/>
          </w:tcPr>
          <w:p>
            <w:pPr>
              <w:spacing w:after="0"/>
              <w:rPr>
                <w:sz w:val="11"/>
                <w:szCs w:val="11"/>
                <w:color w:val="auto"/>
              </w:rPr>
            </w:pPr>
          </w:p>
        </w:tc>
        <w:tc>
          <w:tcPr>
            <w:tcW w:w="820" w:type="dxa"/>
            <w:vAlign w:val="bottom"/>
            <w:vMerge w:val="restart"/>
            <w:shd w:val="clear" w:color="auto" w:fill="1D3060"/>
          </w:tcPr>
          <w:p>
            <w:pPr>
              <w:jc w:val="center"/>
              <w:ind w:right="57"/>
              <w:spacing w:after="0"/>
              <w:rPr>
                <w:sz w:val="20"/>
                <w:szCs w:val="20"/>
                <w:color w:val="auto"/>
              </w:rPr>
            </w:pPr>
            <w:r>
              <w:rPr>
                <w:rFonts w:ascii="Arial" w:cs="Arial" w:eastAsia="Arial" w:hAnsi="Arial"/>
                <w:sz w:val="13"/>
                <w:szCs w:val="13"/>
                <w:b w:val="1"/>
                <w:bCs w:val="1"/>
                <w:color w:val="FFFFFF"/>
                <w:w w:val="95"/>
              </w:rPr>
              <w:t>Number of</w:t>
            </w:r>
          </w:p>
        </w:tc>
        <w:tc>
          <w:tcPr>
            <w:tcW w:w="200" w:type="dxa"/>
            <w:vAlign w:val="bottom"/>
            <w:shd w:val="clear" w:color="auto" w:fill="1D3060"/>
          </w:tcPr>
          <w:p>
            <w:pPr>
              <w:spacing w:after="0"/>
              <w:rPr>
                <w:sz w:val="11"/>
                <w:szCs w:val="11"/>
                <w:color w:val="auto"/>
              </w:rPr>
            </w:pPr>
          </w:p>
        </w:tc>
        <w:tc>
          <w:tcPr>
            <w:tcW w:w="640" w:type="dxa"/>
            <w:vAlign w:val="bottom"/>
            <w:shd w:val="clear" w:color="auto" w:fill="1D3060"/>
          </w:tcPr>
          <w:p>
            <w:pPr>
              <w:spacing w:after="0"/>
              <w:rPr>
                <w:sz w:val="11"/>
                <w:szCs w:val="11"/>
                <w:color w:val="auto"/>
              </w:rPr>
            </w:pPr>
          </w:p>
        </w:tc>
        <w:tc>
          <w:tcPr>
            <w:tcW w:w="900" w:type="dxa"/>
            <w:vAlign w:val="bottom"/>
            <w:shd w:val="clear" w:color="auto" w:fill="1D3060"/>
          </w:tcPr>
          <w:p>
            <w:pPr>
              <w:spacing w:after="0"/>
              <w:rPr>
                <w:sz w:val="11"/>
                <w:szCs w:val="11"/>
                <w:color w:val="auto"/>
              </w:rPr>
            </w:pPr>
          </w:p>
        </w:tc>
        <w:tc>
          <w:tcPr>
            <w:tcW w:w="1080" w:type="dxa"/>
            <w:vAlign w:val="bottom"/>
            <w:shd w:val="clear" w:color="auto" w:fill="1D3060"/>
          </w:tcPr>
          <w:p>
            <w:pPr>
              <w:jc w:val="center"/>
              <w:ind w:right="157"/>
              <w:spacing w:after="0" w:line="135" w:lineRule="exact"/>
              <w:rPr>
                <w:sz w:val="20"/>
                <w:szCs w:val="20"/>
                <w:color w:val="auto"/>
              </w:rPr>
            </w:pPr>
            <w:r>
              <w:rPr>
                <w:rFonts w:ascii="Arial" w:cs="Arial" w:eastAsia="Arial" w:hAnsi="Arial"/>
                <w:sz w:val="13"/>
                <w:szCs w:val="13"/>
                <w:b w:val="1"/>
                <w:bCs w:val="1"/>
                <w:color w:val="FFFFFF"/>
                <w:w w:val="96"/>
              </w:rPr>
              <w:t>Shares or</w:t>
            </w:r>
          </w:p>
        </w:tc>
        <w:tc>
          <w:tcPr>
            <w:tcW w:w="8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3"/>
              </w:rPr>
              <w:t>Units or</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7"/>
              </w:rPr>
              <w:t>Units or</w:t>
            </w:r>
          </w:p>
        </w:tc>
        <w:tc>
          <w:tcPr>
            <w:tcW w:w="0" w:type="dxa"/>
            <w:vAlign w:val="bottom"/>
          </w:tcPr>
          <w:p>
            <w:pPr>
              <w:spacing w:after="0"/>
              <w:rPr>
                <w:sz w:val="1"/>
                <w:szCs w:val="1"/>
                <w:color w:val="auto"/>
              </w:rPr>
            </w:pPr>
          </w:p>
        </w:tc>
      </w:tr>
      <w:tr>
        <w:trPr>
          <w:trHeight w:val="126"/>
        </w:trPr>
        <w:tc>
          <w:tcPr>
            <w:tcW w:w="2460" w:type="dxa"/>
            <w:vAlign w:val="bottom"/>
            <w:shd w:val="clear" w:color="auto" w:fill="1D3060"/>
          </w:tcPr>
          <w:p>
            <w:pPr>
              <w:spacing w:after="0"/>
              <w:rPr>
                <w:sz w:val="10"/>
                <w:szCs w:val="10"/>
                <w:color w:val="auto"/>
              </w:rPr>
            </w:pPr>
          </w:p>
        </w:tc>
        <w:tc>
          <w:tcPr>
            <w:tcW w:w="160" w:type="dxa"/>
            <w:vAlign w:val="bottom"/>
            <w:shd w:val="clear" w:color="auto" w:fill="1D3060"/>
          </w:tcPr>
          <w:p>
            <w:pPr>
              <w:spacing w:after="0"/>
              <w:rPr>
                <w:sz w:val="10"/>
                <w:szCs w:val="10"/>
                <w:color w:val="auto"/>
              </w:rPr>
            </w:pPr>
          </w:p>
        </w:tc>
        <w:tc>
          <w:tcPr>
            <w:tcW w:w="720" w:type="dxa"/>
            <w:vAlign w:val="bottom"/>
            <w:shd w:val="clear" w:color="auto" w:fill="1D3060"/>
          </w:tcPr>
          <w:p>
            <w:pPr>
              <w:spacing w:after="0"/>
              <w:rPr>
                <w:sz w:val="10"/>
                <w:szCs w:val="10"/>
                <w:color w:val="auto"/>
              </w:rPr>
            </w:pPr>
          </w:p>
        </w:tc>
        <w:tc>
          <w:tcPr>
            <w:tcW w:w="180" w:type="dxa"/>
            <w:vAlign w:val="bottom"/>
            <w:shd w:val="clear" w:color="auto" w:fill="1D3060"/>
          </w:tcPr>
          <w:p>
            <w:pPr>
              <w:spacing w:after="0"/>
              <w:rPr>
                <w:sz w:val="10"/>
                <w:szCs w:val="10"/>
                <w:color w:val="auto"/>
              </w:rPr>
            </w:pPr>
          </w:p>
        </w:tc>
        <w:tc>
          <w:tcPr>
            <w:tcW w:w="940" w:type="dxa"/>
            <w:vAlign w:val="bottom"/>
            <w:gridSpan w:val="2"/>
            <w:vMerge w:val="continue"/>
            <w:shd w:val="clear" w:color="auto" w:fill="1D3060"/>
          </w:tcPr>
          <w:p>
            <w:pPr>
              <w:spacing w:after="0"/>
              <w:rPr>
                <w:sz w:val="10"/>
                <w:szCs w:val="10"/>
                <w:color w:val="auto"/>
              </w:rPr>
            </w:pPr>
          </w:p>
        </w:tc>
        <w:tc>
          <w:tcPr>
            <w:tcW w:w="260" w:type="dxa"/>
            <w:vAlign w:val="bottom"/>
            <w:shd w:val="clear" w:color="auto" w:fill="1D3060"/>
          </w:tcPr>
          <w:p>
            <w:pPr>
              <w:spacing w:after="0"/>
              <w:rPr>
                <w:sz w:val="10"/>
                <w:szCs w:val="10"/>
                <w:color w:val="auto"/>
              </w:rPr>
            </w:pPr>
          </w:p>
        </w:tc>
        <w:tc>
          <w:tcPr>
            <w:tcW w:w="820" w:type="dxa"/>
            <w:vAlign w:val="bottom"/>
            <w:vMerge w:val="continue"/>
            <w:shd w:val="clear" w:color="auto" w:fill="1D3060"/>
          </w:tcPr>
          <w:p>
            <w:pPr>
              <w:spacing w:after="0"/>
              <w:rPr>
                <w:sz w:val="10"/>
                <w:szCs w:val="10"/>
                <w:color w:val="auto"/>
              </w:rPr>
            </w:pPr>
          </w:p>
        </w:tc>
        <w:tc>
          <w:tcPr>
            <w:tcW w:w="200" w:type="dxa"/>
            <w:vAlign w:val="bottom"/>
            <w:shd w:val="clear" w:color="auto" w:fill="1D3060"/>
          </w:tcPr>
          <w:p>
            <w:pPr>
              <w:spacing w:after="0"/>
              <w:rPr>
                <w:sz w:val="10"/>
                <w:szCs w:val="10"/>
                <w:color w:val="auto"/>
              </w:rPr>
            </w:pPr>
          </w:p>
        </w:tc>
        <w:tc>
          <w:tcPr>
            <w:tcW w:w="640" w:type="dxa"/>
            <w:vAlign w:val="bottom"/>
            <w:shd w:val="clear" w:color="auto" w:fill="1D3060"/>
          </w:tcPr>
          <w:p>
            <w:pPr>
              <w:spacing w:after="0"/>
              <w:rPr>
                <w:sz w:val="10"/>
                <w:szCs w:val="10"/>
                <w:color w:val="auto"/>
              </w:rPr>
            </w:pPr>
          </w:p>
        </w:tc>
        <w:tc>
          <w:tcPr>
            <w:tcW w:w="900" w:type="dxa"/>
            <w:vAlign w:val="bottom"/>
            <w:shd w:val="clear" w:color="auto" w:fill="1D3060"/>
          </w:tcPr>
          <w:p>
            <w:pPr>
              <w:spacing w:after="0"/>
              <w:rPr>
                <w:sz w:val="10"/>
                <w:szCs w:val="10"/>
                <w:color w:val="auto"/>
              </w:rPr>
            </w:pPr>
          </w:p>
        </w:tc>
        <w:tc>
          <w:tcPr>
            <w:tcW w:w="1080" w:type="dxa"/>
            <w:vAlign w:val="bottom"/>
            <w:shd w:val="clear" w:color="auto" w:fill="1D3060"/>
          </w:tcPr>
          <w:p>
            <w:pPr>
              <w:jc w:val="center"/>
              <w:ind w:right="157"/>
              <w:spacing w:after="0" w:line="126" w:lineRule="exact"/>
              <w:rPr>
                <w:sz w:val="20"/>
                <w:szCs w:val="20"/>
                <w:color w:val="auto"/>
              </w:rPr>
            </w:pPr>
            <w:r>
              <w:rPr>
                <w:rFonts w:ascii="Arial" w:cs="Arial" w:eastAsia="Arial" w:hAnsi="Arial"/>
                <w:sz w:val="13"/>
                <w:szCs w:val="13"/>
                <w:b w:val="1"/>
                <w:bCs w:val="1"/>
                <w:color w:val="FFFFFF"/>
                <w:w w:val="94"/>
              </w:rPr>
              <w:t>Units of</w:t>
            </w:r>
          </w:p>
        </w:tc>
        <w:tc>
          <w:tcPr>
            <w:tcW w:w="880" w:type="dxa"/>
            <w:vAlign w:val="bottom"/>
            <w:shd w:val="clear" w:color="auto" w:fill="1D3060"/>
          </w:tcPr>
          <w:p>
            <w:pPr>
              <w:jc w:val="center"/>
              <w:spacing w:after="0" w:line="126" w:lineRule="exact"/>
              <w:rPr>
                <w:sz w:val="20"/>
                <w:szCs w:val="20"/>
                <w:color w:val="auto"/>
              </w:rPr>
            </w:pPr>
            <w:r>
              <w:rPr>
                <w:rFonts w:ascii="Arial" w:cs="Arial" w:eastAsia="Arial" w:hAnsi="Arial"/>
                <w:sz w:val="13"/>
                <w:szCs w:val="13"/>
                <w:b w:val="1"/>
                <w:bCs w:val="1"/>
                <w:color w:val="FFFFFF"/>
                <w:w w:val="96"/>
              </w:rPr>
              <w:t>Shares or</w:t>
            </w:r>
          </w:p>
        </w:tc>
        <w:tc>
          <w:tcPr>
            <w:tcW w:w="1000" w:type="dxa"/>
            <w:vAlign w:val="bottom"/>
            <w:shd w:val="clear" w:color="auto" w:fill="1D3060"/>
          </w:tcPr>
          <w:p>
            <w:pPr>
              <w:jc w:val="center"/>
              <w:ind w:right="117"/>
              <w:spacing w:after="0" w:line="126" w:lineRule="exact"/>
              <w:rPr>
                <w:sz w:val="20"/>
                <w:szCs w:val="20"/>
                <w:color w:val="auto"/>
              </w:rPr>
            </w:pPr>
            <w:r>
              <w:rPr>
                <w:rFonts w:ascii="Arial" w:cs="Arial" w:eastAsia="Arial" w:hAnsi="Arial"/>
                <w:sz w:val="13"/>
                <w:szCs w:val="13"/>
                <w:b w:val="1"/>
                <w:bCs w:val="1"/>
                <w:color w:val="FFFFFF"/>
                <w:w w:val="97"/>
              </w:rPr>
              <w:t>Other</w:t>
            </w:r>
          </w:p>
        </w:tc>
        <w:tc>
          <w:tcPr>
            <w:tcW w:w="780" w:type="dxa"/>
            <w:vAlign w:val="bottom"/>
            <w:shd w:val="clear" w:color="auto" w:fill="1D3060"/>
          </w:tcPr>
          <w:p>
            <w:pPr>
              <w:jc w:val="center"/>
              <w:spacing w:after="0" w:line="126" w:lineRule="exact"/>
              <w:rPr>
                <w:sz w:val="20"/>
                <w:szCs w:val="20"/>
                <w:color w:val="auto"/>
              </w:rPr>
            </w:pPr>
            <w:r>
              <w:rPr>
                <w:rFonts w:ascii="Arial" w:cs="Arial" w:eastAsia="Arial" w:hAnsi="Arial"/>
                <w:sz w:val="13"/>
                <w:szCs w:val="13"/>
                <w:b w:val="1"/>
                <w:bCs w:val="1"/>
                <w:color w:val="FFFFFF"/>
                <w:w w:val="97"/>
              </w:rPr>
              <w:t>Other</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60" w:type="dxa"/>
            <w:vAlign w:val="bottom"/>
            <w:shd w:val="clear" w:color="auto" w:fill="1D3060"/>
          </w:tcPr>
          <w:p>
            <w:pPr>
              <w:spacing w:after="0"/>
              <w:rPr>
                <w:sz w:val="11"/>
                <w:szCs w:val="11"/>
                <w:color w:val="auto"/>
              </w:rPr>
            </w:pPr>
          </w:p>
        </w:tc>
        <w:tc>
          <w:tcPr>
            <w:tcW w:w="880" w:type="dxa"/>
            <w:vAlign w:val="bottom"/>
            <w:shd w:val="clear" w:color="auto" w:fill="1D3060"/>
          </w:tcPr>
          <w:p>
            <w:pPr>
              <w:jc w:val="center"/>
              <w:ind w:right="177"/>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260" w:type="dxa"/>
            <w:vAlign w:val="bottom"/>
            <w:shd w:val="clear" w:color="auto" w:fill="1D3060"/>
          </w:tcPr>
          <w:p>
            <w:pPr>
              <w:spacing w:after="0"/>
              <w:rPr>
                <w:sz w:val="11"/>
                <w:szCs w:val="11"/>
                <w:color w:val="auto"/>
              </w:rPr>
            </w:pPr>
          </w:p>
        </w:tc>
        <w:tc>
          <w:tcPr>
            <w:tcW w:w="820" w:type="dxa"/>
            <w:vAlign w:val="bottom"/>
            <w:shd w:val="clear" w:color="auto" w:fill="1D3060"/>
          </w:tcPr>
          <w:p>
            <w:pPr>
              <w:jc w:val="center"/>
              <w:ind w:right="37"/>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200" w:type="dxa"/>
            <w:vAlign w:val="bottom"/>
            <w:shd w:val="clear" w:color="auto" w:fill="1D3060"/>
          </w:tcPr>
          <w:p>
            <w:pPr>
              <w:spacing w:after="0"/>
              <w:rPr>
                <w:sz w:val="11"/>
                <w:szCs w:val="11"/>
                <w:color w:val="auto"/>
              </w:rPr>
            </w:pPr>
          </w:p>
        </w:tc>
        <w:tc>
          <w:tcPr>
            <w:tcW w:w="640" w:type="dxa"/>
            <w:vAlign w:val="bottom"/>
            <w:vMerge w:val="restart"/>
            <w:shd w:val="clear" w:color="auto" w:fill="1D3060"/>
          </w:tcPr>
          <w:p>
            <w:pPr>
              <w:jc w:val="center"/>
              <w:ind w:right="57"/>
              <w:spacing w:after="0"/>
              <w:rPr>
                <w:sz w:val="20"/>
                <w:szCs w:val="20"/>
                <w:color w:val="auto"/>
              </w:rPr>
            </w:pPr>
            <w:r>
              <w:rPr>
                <w:rFonts w:ascii="Arial" w:cs="Arial" w:eastAsia="Arial" w:hAnsi="Arial"/>
                <w:sz w:val="13"/>
                <w:szCs w:val="13"/>
                <w:b w:val="1"/>
                <w:bCs w:val="1"/>
                <w:color w:val="FFFFFF"/>
                <w:w w:val="95"/>
              </w:rPr>
              <w:t>Option</w:t>
            </w:r>
          </w:p>
        </w:tc>
        <w:tc>
          <w:tcPr>
            <w:tcW w:w="900" w:type="dxa"/>
            <w:vAlign w:val="bottom"/>
            <w:shd w:val="clear" w:color="auto" w:fill="1D3060"/>
          </w:tcPr>
          <w:p>
            <w:pPr>
              <w:spacing w:after="0"/>
              <w:rPr>
                <w:sz w:val="11"/>
                <w:szCs w:val="11"/>
                <w:color w:val="auto"/>
              </w:rPr>
            </w:pPr>
          </w:p>
        </w:tc>
        <w:tc>
          <w:tcPr>
            <w:tcW w:w="1080" w:type="dxa"/>
            <w:vAlign w:val="bottom"/>
            <w:shd w:val="clear" w:color="auto" w:fill="1D3060"/>
          </w:tcPr>
          <w:p>
            <w:pPr>
              <w:jc w:val="center"/>
              <w:ind w:right="157"/>
              <w:spacing w:after="0" w:line="135" w:lineRule="exact"/>
              <w:rPr>
                <w:sz w:val="20"/>
                <w:szCs w:val="20"/>
                <w:color w:val="auto"/>
              </w:rPr>
            </w:pPr>
            <w:r>
              <w:rPr>
                <w:rFonts w:ascii="Arial" w:cs="Arial" w:eastAsia="Arial" w:hAnsi="Arial"/>
                <w:sz w:val="13"/>
                <w:szCs w:val="13"/>
                <w:b w:val="1"/>
                <w:bCs w:val="1"/>
                <w:color w:val="FFFFFF"/>
                <w:w w:val="95"/>
              </w:rPr>
              <w:t>Stock</w:t>
            </w:r>
          </w:p>
        </w:tc>
        <w:tc>
          <w:tcPr>
            <w:tcW w:w="8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9"/>
              </w:rPr>
              <w:t>Units of</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3"/>
              </w:rPr>
              <w:t>Rights</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3"/>
              </w:rPr>
              <w:t>Rights</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940" w:type="dxa"/>
            <w:vAlign w:val="bottom"/>
            <w:gridSpan w:val="2"/>
            <w:shd w:val="clear" w:color="auto" w:fill="1D3060"/>
          </w:tcPr>
          <w:p>
            <w:pPr>
              <w:jc w:val="center"/>
              <w:ind w:right="13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260" w:type="dxa"/>
            <w:vAlign w:val="bottom"/>
            <w:shd w:val="clear" w:color="auto" w:fill="1D3060"/>
          </w:tcPr>
          <w:p>
            <w:pPr>
              <w:spacing w:after="0"/>
              <w:rPr>
                <w:sz w:val="11"/>
                <w:szCs w:val="11"/>
                <w:color w:val="auto"/>
              </w:rPr>
            </w:pPr>
          </w:p>
        </w:tc>
        <w:tc>
          <w:tcPr>
            <w:tcW w:w="820" w:type="dxa"/>
            <w:vAlign w:val="bottom"/>
            <w:shd w:val="clear" w:color="auto" w:fill="1D3060"/>
          </w:tcPr>
          <w:p>
            <w:pPr>
              <w:jc w:val="center"/>
              <w:ind w:right="5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200" w:type="dxa"/>
            <w:vAlign w:val="bottom"/>
            <w:shd w:val="clear" w:color="auto" w:fill="1D3060"/>
          </w:tcPr>
          <w:p>
            <w:pPr>
              <w:spacing w:after="0"/>
              <w:rPr>
                <w:sz w:val="11"/>
                <w:szCs w:val="11"/>
                <w:color w:val="auto"/>
              </w:rPr>
            </w:pPr>
          </w:p>
        </w:tc>
        <w:tc>
          <w:tcPr>
            <w:tcW w:w="640" w:type="dxa"/>
            <w:vAlign w:val="bottom"/>
            <w:vMerge w:val="continue"/>
            <w:shd w:val="clear" w:color="auto" w:fill="1D3060"/>
          </w:tcPr>
          <w:p>
            <w:pPr>
              <w:spacing w:after="0"/>
              <w:rPr>
                <w:sz w:val="11"/>
                <w:szCs w:val="11"/>
                <w:color w:val="auto"/>
              </w:rPr>
            </w:pPr>
          </w:p>
        </w:tc>
        <w:tc>
          <w:tcPr>
            <w:tcW w:w="900" w:type="dxa"/>
            <w:vAlign w:val="bottom"/>
            <w:vMerge w:val="restart"/>
            <w:shd w:val="clear" w:color="auto" w:fill="1D3060"/>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1080" w:type="dxa"/>
            <w:vAlign w:val="bottom"/>
            <w:shd w:val="clear" w:color="auto" w:fill="1D3060"/>
          </w:tcPr>
          <w:p>
            <w:pPr>
              <w:jc w:val="center"/>
              <w:ind w:right="157"/>
              <w:spacing w:after="0" w:line="135" w:lineRule="exact"/>
              <w:rPr>
                <w:sz w:val="20"/>
                <w:szCs w:val="20"/>
                <w:color w:val="auto"/>
              </w:rPr>
            </w:pPr>
            <w:r>
              <w:rPr>
                <w:rFonts w:ascii="Arial" w:cs="Arial" w:eastAsia="Arial" w:hAnsi="Arial"/>
                <w:sz w:val="13"/>
                <w:szCs w:val="13"/>
                <w:b w:val="1"/>
                <w:bCs w:val="1"/>
                <w:color w:val="FFFFFF"/>
                <w:w w:val="94"/>
              </w:rPr>
              <w:t>That</w:t>
            </w:r>
          </w:p>
        </w:tc>
        <w:tc>
          <w:tcPr>
            <w:tcW w:w="8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6"/>
              </w:rPr>
              <w:t>Stock That</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4"/>
              </w:rPr>
              <w:t>That</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4"/>
              </w:rPr>
              <w:t>That</w:t>
            </w:r>
          </w:p>
        </w:tc>
        <w:tc>
          <w:tcPr>
            <w:tcW w:w="0" w:type="dxa"/>
            <w:vAlign w:val="bottom"/>
          </w:tcPr>
          <w:p>
            <w:pPr>
              <w:spacing w:after="0"/>
              <w:rPr>
                <w:sz w:val="1"/>
                <w:szCs w:val="1"/>
                <w:color w:val="auto"/>
              </w:rPr>
            </w:pPr>
          </w:p>
        </w:tc>
      </w:tr>
      <w:tr>
        <w:trPr>
          <w:trHeight w:val="135"/>
        </w:trPr>
        <w:tc>
          <w:tcPr>
            <w:tcW w:w="2460" w:type="dxa"/>
            <w:vAlign w:val="bottom"/>
            <w:shd w:val="clear" w:color="auto" w:fill="1D3060"/>
          </w:tcPr>
          <w:p>
            <w:pPr>
              <w:spacing w:after="0"/>
              <w:rPr>
                <w:sz w:val="11"/>
                <w:szCs w:val="11"/>
                <w:color w:val="auto"/>
              </w:rPr>
            </w:pPr>
          </w:p>
        </w:tc>
        <w:tc>
          <w:tcPr>
            <w:tcW w:w="160" w:type="dxa"/>
            <w:vAlign w:val="bottom"/>
            <w:shd w:val="clear" w:color="auto" w:fill="1D3060"/>
          </w:tcPr>
          <w:p>
            <w:pPr>
              <w:spacing w:after="0"/>
              <w:rPr>
                <w:sz w:val="11"/>
                <w:szCs w:val="11"/>
                <w:color w:val="auto"/>
              </w:rPr>
            </w:pPr>
          </w:p>
        </w:tc>
        <w:tc>
          <w:tcPr>
            <w:tcW w:w="720" w:type="dxa"/>
            <w:vAlign w:val="bottom"/>
            <w:shd w:val="clear" w:color="auto" w:fill="1D3060"/>
          </w:tcPr>
          <w:p>
            <w:pPr>
              <w:spacing w:after="0"/>
              <w:rPr>
                <w:sz w:val="11"/>
                <w:szCs w:val="11"/>
                <w:color w:val="auto"/>
              </w:rPr>
            </w:pPr>
          </w:p>
        </w:tc>
        <w:tc>
          <w:tcPr>
            <w:tcW w:w="180" w:type="dxa"/>
            <w:vAlign w:val="bottom"/>
            <w:shd w:val="clear" w:color="auto" w:fill="1D3060"/>
          </w:tcPr>
          <w:p>
            <w:pPr>
              <w:spacing w:after="0"/>
              <w:rPr>
                <w:sz w:val="11"/>
                <w:szCs w:val="11"/>
                <w:color w:val="auto"/>
              </w:rPr>
            </w:pPr>
          </w:p>
        </w:tc>
        <w:tc>
          <w:tcPr>
            <w:tcW w:w="940" w:type="dxa"/>
            <w:vAlign w:val="bottom"/>
            <w:gridSpan w:val="2"/>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1080" w:type="dxa"/>
            <w:vAlign w:val="bottom"/>
            <w:gridSpan w:val="2"/>
            <w:shd w:val="clear" w:color="auto" w:fill="1D3060"/>
          </w:tcPr>
          <w:p>
            <w:pPr>
              <w:jc w:val="center"/>
              <w:ind w:left="77"/>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200" w:type="dxa"/>
            <w:vAlign w:val="bottom"/>
            <w:shd w:val="clear" w:color="auto" w:fill="1D3060"/>
          </w:tcPr>
          <w:p>
            <w:pPr>
              <w:spacing w:after="0"/>
              <w:rPr>
                <w:sz w:val="11"/>
                <w:szCs w:val="11"/>
                <w:color w:val="auto"/>
              </w:rPr>
            </w:pPr>
          </w:p>
        </w:tc>
        <w:tc>
          <w:tcPr>
            <w:tcW w:w="640" w:type="dxa"/>
            <w:vAlign w:val="bottom"/>
            <w:shd w:val="clear" w:color="auto" w:fill="1D3060"/>
          </w:tcPr>
          <w:p>
            <w:pPr>
              <w:jc w:val="center"/>
              <w:ind w:right="57"/>
              <w:spacing w:after="0" w:line="135" w:lineRule="exact"/>
              <w:rPr>
                <w:sz w:val="20"/>
                <w:szCs w:val="20"/>
                <w:color w:val="auto"/>
              </w:rPr>
            </w:pPr>
            <w:r>
              <w:rPr>
                <w:rFonts w:ascii="Arial" w:cs="Arial" w:eastAsia="Arial" w:hAnsi="Arial"/>
                <w:sz w:val="13"/>
                <w:szCs w:val="13"/>
                <w:b w:val="1"/>
                <w:bCs w:val="1"/>
                <w:color w:val="FFFFFF"/>
                <w:w w:val="97"/>
              </w:rPr>
              <w:t>Exercise</w:t>
            </w:r>
          </w:p>
        </w:tc>
        <w:tc>
          <w:tcPr>
            <w:tcW w:w="900" w:type="dxa"/>
            <w:vAlign w:val="bottom"/>
            <w:vMerge w:val="continue"/>
            <w:shd w:val="clear" w:color="auto" w:fill="1D3060"/>
          </w:tcPr>
          <w:p>
            <w:pPr>
              <w:spacing w:after="0"/>
              <w:rPr>
                <w:sz w:val="11"/>
                <w:szCs w:val="11"/>
                <w:color w:val="auto"/>
              </w:rPr>
            </w:pPr>
          </w:p>
        </w:tc>
        <w:tc>
          <w:tcPr>
            <w:tcW w:w="1080" w:type="dxa"/>
            <w:vAlign w:val="bottom"/>
            <w:shd w:val="clear" w:color="auto" w:fill="1D3060"/>
          </w:tcPr>
          <w:p>
            <w:pPr>
              <w:jc w:val="center"/>
              <w:ind w:right="157"/>
              <w:spacing w:after="0" w:line="135" w:lineRule="exact"/>
              <w:rPr>
                <w:sz w:val="20"/>
                <w:szCs w:val="20"/>
                <w:color w:val="auto"/>
              </w:rPr>
            </w:pPr>
            <w:r>
              <w:rPr>
                <w:rFonts w:ascii="Arial" w:cs="Arial" w:eastAsia="Arial" w:hAnsi="Arial"/>
                <w:sz w:val="13"/>
                <w:szCs w:val="13"/>
                <w:b w:val="1"/>
                <w:bCs w:val="1"/>
                <w:color w:val="FFFFFF"/>
                <w:w w:val="95"/>
              </w:rPr>
              <w:t>Have Not</w:t>
            </w:r>
          </w:p>
        </w:tc>
        <w:tc>
          <w:tcPr>
            <w:tcW w:w="8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9"/>
              </w:rPr>
              <w:t>Have Not</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5"/>
              </w:rPr>
              <w:t>Have Not</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Have Not</w:t>
            </w:r>
          </w:p>
        </w:tc>
        <w:tc>
          <w:tcPr>
            <w:tcW w:w="0" w:type="dxa"/>
            <w:vAlign w:val="bottom"/>
          </w:tcPr>
          <w:p>
            <w:pPr>
              <w:spacing w:after="0"/>
              <w:rPr>
                <w:sz w:val="1"/>
                <w:szCs w:val="1"/>
                <w:color w:val="auto"/>
              </w:rPr>
            </w:pPr>
          </w:p>
        </w:tc>
      </w:tr>
      <w:tr>
        <w:trPr>
          <w:trHeight w:val="135"/>
        </w:trPr>
        <w:tc>
          <w:tcPr>
            <w:tcW w:w="2460" w:type="dxa"/>
            <w:vAlign w:val="bottom"/>
            <w:vMerge w:val="restart"/>
            <w:shd w:val="clear" w:color="auto" w:fill="1D3060"/>
          </w:tcPr>
          <w:p>
            <w:pPr>
              <w:spacing w:after="0"/>
              <w:rPr>
                <w:sz w:val="20"/>
                <w:szCs w:val="20"/>
                <w:color w:val="auto"/>
              </w:rPr>
            </w:pPr>
            <w:r>
              <w:rPr>
                <w:rFonts w:ascii="Arial" w:cs="Arial" w:eastAsia="Arial" w:hAnsi="Arial"/>
                <w:sz w:val="13"/>
                <w:szCs w:val="13"/>
                <w:b w:val="1"/>
                <w:bCs w:val="1"/>
                <w:color w:val="FFFFFF"/>
              </w:rPr>
              <w:t>  Name</w:t>
            </w:r>
          </w:p>
        </w:tc>
        <w:tc>
          <w:tcPr>
            <w:tcW w:w="160" w:type="dxa"/>
            <w:vAlign w:val="bottom"/>
            <w:shd w:val="clear" w:color="auto" w:fill="1D3060"/>
          </w:tcPr>
          <w:p>
            <w:pPr>
              <w:spacing w:after="0"/>
              <w:rPr>
                <w:sz w:val="11"/>
                <w:szCs w:val="11"/>
                <w:color w:val="auto"/>
              </w:rPr>
            </w:pPr>
          </w:p>
        </w:tc>
        <w:tc>
          <w:tcPr>
            <w:tcW w:w="720" w:type="dxa"/>
            <w:vAlign w:val="bottom"/>
            <w:vMerge w:val="restart"/>
            <w:shd w:val="clear" w:color="auto" w:fill="1D3060"/>
          </w:tcPr>
          <w:p>
            <w:pPr>
              <w:jc w:val="right"/>
              <w:spacing w:after="0"/>
              <w:rPr>
                <w:sz w:val="20"/>
                <w:szCs w:val="20"/>
                <w:color w:val="auto"/>
              </w:rPr>
            </w:pPr>
            <w:r>
              <w:rPr>
                <w:rFonts w:ascii="Arial" w:cs="Arial" w:eastAsia="Arial" w:hAnsi="Arial"/>
                <w:sz w:val="13"/>
                <w:szCs w:val="13"/>
                <w:b w:val="1"/>
                <w:bCs w:val="1"/>
                <w:color w:val="FFFFFF"/>
                <w:w w:val="96"/>
              </w:rPr>
              <w:t>Grant Date</w:t>
            </w:r>
          </w:p>
        </w:tc>
        <w:tc>
          <w:tcPr>
            <w:tcW w:w="180" w:type="dxa"/>
            <w:vAlign w:val="bottom"/>
            <w:shd w:val="clear" w:color="auto" w:fill="1D3060"/>
          </w:tcPr>
          <w:p>
            <w:pPr>
              <w:spacing w:after="0"/>
              <w:rPr>
                <w:sz w:val="11"/>
                <w:szCs w:val="11"/>
                <w:color w:val="auto"/>
              </w:rPr>
            </w:pPr>
          </w:p>
        </w:tc>
        <w:tc>
          <w:tcPr>
            <w:tcW w:w="940" w:type="dxa"/>
            <w:vAlign w:val="bottom"/>
            <w:gridSpan w:val="2"/>
            <w:shd w:val="clear" w:color="auto" w:fill="1D3060"/>
          </w:tcPr>
          <w:p>
            <w:pPr>
              <w:jc w:val="center"/>
              <w:ind w:right="137"/>
              <w:spacing w:after="0" w:line="135" w:lineRule="exact"/>
              <w:rPr>
                <w:sz w:val="20"/>
                <w:szCs w:val="20"/>
                <w:color w:val="auto"/>
              </w:rPr>
            </w:pPr>
            <w:r>
              <w:rPr>
                <w:rFonts w:ascii="Arial" w:cs="Arial" w:eastAsia="Arial" w:hAnsi="Arial"/>
                <w:sz w:val="13"/>
                <w:szCs w:val="13"/>
                <w:b w:val="1"/>
                <w:bCs w:val="1"/>
                <w:color w:val="FFFFFF"/>
                <w:w w:val="96"/>
              </w:rPr>
              <w:t>Options (#)</w:t>
            </w:r>
          </w:p>
        </w:tc>
        <w:tc>
          <w:tcPr>
            <w:tcW w:w="260" w:type="dxa"/>
            <w:vAlign w:val="bottom"/>
            <w:shd w:val="clear" w:color="auto" w:fill="1D3060"/>
          </w:tcPr>
          <w:p>
            <w:pPr>
              <w:spacing w:after="0"/>
              <w:rPr>
                <w:sz w:val="11"/>
                <w:szCs w:val="11"/>
                <w:color w:val="auto"/>
              </w:rPr>
            </w:pPr>
          </w:p>
        </w:tc>
        <w:tc>
          <w:tcPr>
            <w:tcW w:w="820" w:type="dxa"/>
            <w:vAlign w:val="bottom"/>
            <w:shd w:val="clear" w:color="auto" w:fill="1D3060"/>
          </w:tcPr>
          <w:p>
            <w:pPr>
              <w:jc w:val="center"/>
              <w:ind w:right="57"/>
              <w:spacing w:after="0" w:line="135" w:lineRule="exact"/>
              <w:rPr>
                <w:sz w:val="20"/>
                <w:szCs w:val="20"/>
                <w:color w:val="auto"/>
              </w:rPr>
            </w:pPr>
            <w:r>
              <w:rPr>
                <w:rFonts w:ascii="Arial" w:cs="Arial" w:eastAsia="Arial" w:hAnsi="Arial"/>
                <w:sz w:val="13"/>
                <w:szCs w:val="13"/>
                <w:b w:val="1"/>
                <w:bCs w:val="1"/>
                <w:color w:val="FFFFFF"/>
                <w:w w:val="96"/>
              </w:rPr>
              <w:t>Options (#)</w:t>
            </w:r>
          </w:p>
        </w:tc>
        <w:tc>
          <w:tcPr>
            <w:tcW w:w="200" w:type="dxa"/>
            <w:vAlign w:val="bottom"/>
            <w:shd w:val="clear" w:color="auto" w:fill="1D3060"/>
          </w:tcPr>
          <w:p>
            <w:pPr>
              <w:spacing w:after="0"/>
              <w:rPr>
                <w:sz w:val="11"/>
                <w:szCs w:val="11"/>
                <w:color w:val="auto"/>
              </w:rPr>
            </w:pPr>
          </w:p>
        </w:tc>
        <w:tc>
          <w:tcPr>
            <w:tcW w:w="640" w:type="dxa"/>
            <w:vAlign w:val="bottom"/>
            <w:shd w:val="clear" w:color="auto" w:fill="1D3060"/>
          </w:tcPr>
          <w:p>
            <w:pPr>
              <w:jc w:val="center"/>
              <w:ind w:right="57"/>
              <w:spacing w:after="0" w:line="135" w:lineRule="exact"/>
              <w:rPr>
                <w:sz w:val="20"/>
                <w:szCs w:val="20"/>
                <w:color w:val="auto"/>
              </w:rPr>
            </w:pPr>
            <w:r>
              <w:rPr>
                <w:rFonts w:ascii="Arial" w:cs="Arial" w:eastAsia="Arial" w:hAnsi="Arial"/>
                <w:sz w:val="13"/>
                <w:szCs w:val="13"/>
                <w:b w:val="1"/>
                <w:bCs w:val="1"/>
                <w:color w:val="FFFFFF"/>
              </w:rPr>
              <w:t>Price</w:t>
            </w:r>
          </w:p>
        </w:tc>
        <w:tc>
          <w:tcPr>
            <w:tcW w:w="90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1080" w:type="dxa"/>
            <w:vAlign w:val="bottom"/>
            <w:shd w:val="clear" w:color="auto" w:fill="1D3060"/>
          </w:tcPr>
          <w:p>
            <w:pPr>
              <w:jc w:val="center"/>
              <w:ind w:right="157"/>
              <w:spacing w:after="0" w:line="135" w:lineRule="exact"/>
              <w:rPr>
                <w:sz w:val="20"/>
                <w:szCs w:val="20"/>
                <w:color w:val="auto"/>
              </w:rPr>
            </w:pPr>
            <w:r>
              <w:rPr>
                <w:rFonts w:ascii="Arial" w:cs="Arial" w:eastAsia="Arial" w:hAnsi="Arial"/>
                <w:sz w:val="13"/>
                <w:szCs w:val="13"/>
                <w:b w:val="1"/>
                <w:bCs w:val="1"/>
                <w:color w:val="FFFFFF"/>
                <w:w w:val="98"/>
              </w:rPr>
              <w:t>Vested</w:t>
            </w:r>
          </w:p>
        </w:tc>
        <w:tc>
          <w:tcPr>
            <w:tcW w:w="8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1000" w:type="dxa"/>
            <w:vAlign w:val="bottom"/>
            <w:shd w:val="clear" w:color="auto" w:fill="1D3060"/>
          </w:tcPr>
          <w:p>
            <w:pPr>
              <w:jc w:val="center"/>
              <w:ind w:right="117"/>
              <w:spacing w:after="0" w:line="135" w:lineRule="exact"/>
              <w:rPr>
                <w:sz w:val="20"/>
                <w:szCs w:val="20"/>
                <w:color w:val="auto"/>
              </w:rPr>
            </w:pPr>
            <w:r>
              <w:rPr>
                <w:rFonts w:ascii="Arial" w:cs="Arial" w:eastAsia="Arial" w:hAnsi="Arial"/>
                <w:sz w:val="13"/>
                <w:szCs w:val="13"/>
                <w:b w:val="1"/>
                <w:bCs w:val="1"/>
                <w:color w:val="FFFFFF"/>
                <w:w w:val="98"/>
              </w:rPr>
              <w:t>Vested</w:t>
            </w:r>
          </w:p>
        </w:tc>
        <w:tc>
          <w:tcPr>
            <w:tcW w:w="7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0" w:type="dxa"/>
            <w:vAlign w:val="bottom"/>
          </w:tcPr>
          <w:p>
            <w:pPr>
              <w:spacing w:after="0"/>
              <w:rPr>
                <w:sz w:val="1"/>
                <w:szCs w:val="1"/>
                <w:color w:val="auto"/>
              </w:rPr>
            </w:pPr>
          </w:p>
        </w:tc>
      </w:tr>
      <w:tr>
        <w:trPr>
          <w:trHeight w:val="189"/>
        </w:trPr>
        <w:tc>
          <w:tcPr>
            <w:tcW w:w="2460" w:type="dxa"/>
            <w:vAlign w:val="bottom"/>
            <w:vMerge w:val="continue"/>
            <w:shd w:val="clear" w:color="auto" w:fill="1D3060"/>
          </w:tcPr>
          <w:p>
            <w:pPr>
              <w:spacing w:after="0"/>
              <w:rPr>
                <w:sz w:val="16"/>
                <w:szCs w:val="16"/>
                <w:color w:val="auto"/>
              </w:rPr>
            </w:pPr>
          </w:p>
        </w:tc>
        <w:tc>
          <w:tcPr>
            <w:tcW w:w="160" w:type="dxa"/>
            <w:vAlign w:val="bottom"/>
            <w:shd w:val="clear" w:color="auto" w:fill="1D3060"/>
          </w:tcPr>
          <w:p>
            <w:pPr>
              <w:spacing w:after="0"/>
              <w:rPr>
                <w:sz w:val="16"/>
                <w:szCs w:val="16"/>
                <w:color w:val="auto"/>
              </w:rPr>
            </w:pPr>
          </w:p>
        </w:tc>
        <w:tc>
          <w:tcPr>
            <w:tcW w:w="720" w:type="dxa"/>
            <w:vAlign w:val="bottom"/>
            <w:vMerge w:val="continue"/>
            <w:shd w:val="clear" w:color="auto" w:fill="1D3060"/>
          </w:tcPr>
          <w:p>
            <w:pPr>
              <w:spacing w:after="0"/>
              <w:rPr>
                <w:sz w:val="16"/>
                <w:szCs w:val="16"/>
                <w:color w:val="auto"/>
              </w:rPr>
            </w:pPr>
          </w:p>
        </w:tc>
        <w:tc>
          <w:tcPr>
            <w:tcW w:w="180" w:type="dxa"/>
            <w:vAlign w:val="bottom"/>
            <w:shd w:val="clear" w:color="auto" w:fill="1D3060"/>
          </w:tcPr>
          <w:p>
            <w:pPr>
              <w:spacing w:after="0"/>
              <w:rPr>
                <w:sz w:val="16"/>
                <w:szCs w:val="16"/>
                <w:color w:val="auto"/>
              </w:rPr>
            </w:pPr>
          </w:p>
        </w:tc>
        <w:tc>
          <w:tcPr>
            <w:tcW w:w="940" w:type="dxa"/>
            <w:vAlign w:val="bottom"/>
            <w:gridSpan w:val="2"/>
            <w:shd w:val="clear" w:color="auto" w:fill="1D3060"/>
          </w:tcPr>
          <w:p>
            <w:pPr>
              <w:jc w:val="center"/>
              <w:ind w:right="137"/>
              <w:spacing w:after="0"/>
              <w:rPr>
                <w:sz w:val="20"/>
                <w:szCs w:val="20"/>
                <w:color w:val="auto"/>
              </w:rPr>
            </w:pPr>
            <w:r>
              <w:rPr>
                <w:rFonts w:ascii="Arial" w:cs="Arial" w:eastAsia="Arial" w:hAnsi="Arial"/>
                <w:sz w:val="13"/>
                <w:szCs w:val="13"/>
                <w:b w:val="1"/>
                <w:bCs w:val="1"/>
                <w:color w:val="FFFFFF"/>
                <w:w w:val="96"/>
              </w:rPr>
              <w:t>Exercisable</w:t>
            </w:r>
          </w:p>
        </w:tc>
        <w:tc>
          <w:tcPr>
            <w:tcW w:w="1080" w:type="dxa"/>
            <w:vAlign w:val="bottom"/>
            <w:gridSpan w:val="2"/>
            <w:shd w:val="clear" w:color="auto" w:fill="1D3060"/>
          </w:tcPr>
          <w:p>
            <w:pPr>
              <w:jc w:val="center"/>
              <w:ind w:left="77"/>
              <w:spacing w:after="0"/>
              <w:rPr>
                <w:sz w:val="20"/>
                <w:szCs w:val="20"/>
                <w:color w:val="auto"/>
              </w:rPr>
            </w:pPr>
            <w:r>
              <w:rPr>
                <w:rFonts w:ascii="Arial" w:cs="Arial" w:eastAsia="Arial" w:hAnsi="Arial"/>
                <w:sz w:val="13"/>
                <w:szCs w:val="13"/>
                <w:b w:val="1"/>
                <w:bCs w:val="1"/>
                <w:color w:val="FFFFFF"/>
                <w:w w:val="97"/>
              </w:rPr>
              <w:t>Unexercisable</w:t>
            </w:r>
          </w:p>
        </w:tc>
        <w:tc>
          <w:tcPr>
            <w:tcW w:w="840" w:type="dxa"/>
            <w:vAlign w:val="bottom"/>
            <w:gridSpan w:val="2"/>
            <w:shd w:val="clear" w:color="auto" w:fill="1D3060"/>
          </w:tcPr>
          <w:p>
            <w:pPr>
              <w:jc w:val="center"/>
              <w:ind w:left="17"/>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w w:val="92"/>
              </w:rPr>
              <w:t>Date</w:t>
            </w:r>
          </w:p>
        </w:tc>
        <w:tc>
          <w:tcPr>
            <w:tcW w:w="1080" w:type="dxa"/>
            <w:vAlign w:val="bottom"/>
            <w:shd w:val="clear" w:color="auto" w:fill="1D3060"/>
          </w:tcPr>
          <w:p>
            <w:pPr>
              <w:jc w:val="center"/>
              <w:ind w:right="157"/>
              <w:spacing w:after="0"/>
              <w:rPr>
                <w:sz w:val="20"/>
                <w:szCs w:val="20"/>
                <w:color w:val="auto"/>
              </w:rPr>
            </w:pPr>
            <w:r>
              <w:rPr>
                <w:rFonts w:ascii="Arial" w:cs="Arial" w:eastAsia="Arial" w:hAnsi="Arial"/>
                <w:sz w:val="13"/>
                <w:szCs w:val="13"/>
                <w:b w:val="1"/>
                <w:bCs w:val="1"/>
                <w:color w:val="FFFFFF"/>
                <w:w w:val="87"/>
              </w:rPr>
              <w:t>(#)</w:t>
            </w:r>
          </w:p>
        </w:tc>
        <w:tc>
          <w:tcPr>
            <w:tcW w:w="88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1D3060"/>
          </w:tcPr>
          <w:p>
            <w:pPr>
              <w:jc w:val="center"/>
              <w:ind w:right="117"/>
              <w:spacing w:after="0"/>
              <w:rPr>
                <w:sz w:val="20"/>
                <w:szCs w:val="20"/>
                <w:color w:val="auto"/>
              </w:rPr>
            </w:pPr>
            <w:r>
              <w:rPr>
                <w:rFonts w:ascii="Arial" w:cs="Arial" w:eastAsia="Arial" w:hAnsi="Arial"/>
                <w:sz w:val="13"/>
                <w:szCs w:val="13"/>
                <w:b w:val="1"/>
                <w:bCs w:val="1"/>
                <w:color w:val="FFFFFF"/>
                <w:w w:val="87"/>
              </w:rPr>
              <w:t>(#)</w:t>
            </w:r>
          </w:p>
        </w:tc>
        <w:tc>
          <w:tcPr>
            <w:tcW w:w="78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1"/>
        </w:trPr>
        <w:tc>
          <w:tcPr>
            <w:tcW w:w="2460" w:type="dxa"/>
            <w:vAlign w:val="bottom"/>
            <w:shd w:val="clear" w:color="auto" w:fill="D7E8F5"/>
          </w:tcPr>
          <w:p>
            <w:pPr>
              <w:ind w:left="80"/>
              <w:spacing w:after="0"/>
              <w:rPr>
                <w:sz w:val="20"/>
                <w:szCs w:val="20"/>
                <w:color w:val="auto"/>
              </w:rPr>
            </w:pPr>
            <w:r>
              <w:rPr>
                <w:rFonts w:ascii="Arial" w:cs="Arial" w:eastAsia="Arial" w:hAnsi="Arial"/>
                <w:sz w:val="13"/>
                <w:szCs w:val="13"/>
                <w:color w:val="auto"/>
              </w:rPr>
              <w:t>Pushkal Garg, M.D.</w:t>
            </w:r>
          </w:p>
        </w:tc>
        <w:tc>
          <w:tcPr>
            <w:tcW w:w="160" w:type="dxa"/>
            <w:vAlign w:val="bottom"/>
            <w:shd w:val="clear" w:color="auto" w:fill="D7E8F5"/>
          </w:tcPr>
          <w:p>
            <w:pPr>
              <w:spacing w:after="0"/>
              <w:rPr>
                <w:sz w:val="14"/>
                <w:szCs w:val="14"/>
                <w:color w:val="auto"/>
              </w:rPr>
            </w:pPr>
          </w:p>
        </w:tc>
        <w:tc>
          <w:tcPr>
            <w:tcW w:w="720" w:type="dxa"/>
            <w:vAlign w:val="bottom"/>
            <w:shd w:val="clear" w:color="auto" w:fill="D7E8F5"/>
          </w:tcPr>
          <w:p>
            <w:pPr>
              <w:jc w:val="right"/>
              <w:spacing w:after="0"/>
              <w:rPr>
                <w:sz w:val="20"/>
                <w:szCs w:val="20"/>
                <w:color w:val="auto"/>
              </w:rPr>
            </w:pPr>
            <w:r>
              <w:rPr>
                <w:rFonts w:ascii="Arial" w:cs="Arial" w:eastAsia="Arial" w:hAnsi="Arial"/>
                <w:sz w:val="13"/>
                <w:szCs w:val="13"/>
                <w:color w:val="auto"/>
              </w:rPr>
              <w:t>12/18/2015</w:t>
            </w:r>
          </w:p>
        </w:tc>
        <w:tc>
          <w:tcPr>
            <w:tcW w:w="1120" w:type="dxa"/>
            <w:vAlign w:val="bottom"/>
            <w:gridSpan w:val="3"/>
            <w:shd w:val="clear" w:color="auto" w:fill="D7E8F5"/>
          </w:tcPr>
          <w:p>
            <w:pPr>
              <w:jc w:val="right"/>
              <w:ind w:right="117"/>
              <w:spacing w:after="0"/>
              <w:rPr>
                <w:sz w:val="20"/>
                <w:szCs w:val="20"/>
                <w:color w:val="auto"/>
              </w:rPr>
            </w:pPr>
            <w:r>
              <w:rPr>
                <w:rFonts w:ascii="Arial" w:cs="Arial" w:eastAsia="Arial" w:hAnsi="Arial"/>
                <w:sz w:val="13"/>
                <w:szCs w:val="13"/>
                <w:color w:val="auto"/>
              </w:rPr>
              <w:t>23,876</w:t>
            </w:r>
          </w:p>
        </w:tc>
        <w:tc>
          <w:tcPr>
            <w:tcW w:w="260" w:type="dxa"/>
            <w:vAlign w:val="bottom"/>
            <w:shd w:val="clear" w:color="auto" w:fill="D7E8F5"/>
          </w:tcPr>
          <w:p>
            <w:pPr>
              <w:spacing w:after="0"/>
              <w:rPr>
                <w:sz w:val="14"/>
                <w:szCs w:val="14"/>
                <w:color w:val="auto"/>
              </w:rPr>
            </w:pPr>
          </w:p>
        </w:tc>
        <w:tc>
          <w:tcPr>
            <w:tcW w:w="820" w:type="dxa"/>
            <w:vAlign w:val="bottom"/>
            <w:shd w:val="clear" w:color="auto" w:fill="D7E8F5"/>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D7E8F5"/>
          </w:tcPr>
          <w:p>
            <w:pPr>
              <w:jc w:val="right"/>
              <w:ind w:right="57"/>
              <w:spacing w:after="0"/>
              <w:rPr>
                <w:sz w:val="20"/>
                <w:szCs w:val="20"/>
                <w:color w:val="auto"/>
              </w:rPr>
            </w:pPr>
            <w:r>
              <w:rPr>
                <w:rFonts w:ascii="Arial" w:cs="Arial" w:eastAsia="Arial" w:hAnsi="Arial"/>
                <w:sz w:val="13"/>
                <w:szCs w:val="13"/>
                <w:color w:val="auto"/>
              </w:rPr>
              <w:t>88.95</w:t>
            </w:r>
          </w:p>
        </w:tc>
        <w:tc>
          <w:tcPr>
            <w:tcW w:w="900" w:type="dxa"/>
            <w:vAlign w:val="bottom"/>
            <w:shd w:val="clear" w:color="auto" w:fill="D7E8F5"/>
          </w:tcPr>
          <w:p>
            <w:pPr>
              <w:jc w:val="right"/>
              <w:ind w:right="57"/>
              <w:spacing w:after="0"/>
              <w:rPr>
                <w:sz w:val="20"/>
                <w:szCs w:val="20"/>
                <w:color w:val="auto"/>
              </w:rPr>
            </w:pPr>
            <w:r>
              <w:rPr>
                <w:rFonts w:ascii="Arial" w:cs="Arial" w:eastAsia="Arial" w:hAnsi="Arial"/>
                <w:sz w:val="13"/>
                <w:szCs w:val="13"/>
                <w:color w:val="auto"/>
              </w:rPr>
              <w:t>12/18/2025</w:t>
            </w:r>
          </w:p>
        </w:tc>
        <w:tc>
          <w:tcPr>
            <w:tcW w:w="1080" w:type="dxa"/>
            <w:vAlign w:val="bottom"/>
            <w:shd w:val="clear" w:color="auto" w:fill="D7E8F5"/>
          </w:tcPr>
          <w:p>
            <w:pPr>
              <w:spacing w:after="0"/>
              <w:rPr>
                <w:sz w:val="14"/>
                <w:szCs w:val="14"/>
                <w:color w:val="auto"/>
              </w:rPr>
            </w:pPr>
          </w:p>
        </w:tc>
        <w:tc>
          <w:tcPr>
            <w:tcW w:w="880" w:type="dxa"/>
            <w:vAlign w:val="bottom"/>
            <w:shd w:val="clear" w:color="auto" w:fill="D7E8F5"/>
          </w:tcPr>
          <w:p>
            <w:pPr>
              <w:spacing w:after="0"/>
              <w:rPr>
                <w:sz w:val="14"/>
                <w:szCs w:val="14"/>
                <w:color w:val="auto"/>
              </w:rPr>
            </w:pPr>
          </w:p>
        </w:tc>
        <w:tc>
          <w:tcPr>
            <w:tcW w:w="1000" w:type="dxa"/>
            <w:vAlign w:val="bottom"/>
            <w:shd w:val="clear" w:color="auto" w:fill="D7E8F5"/>
          </w:tcPr>
          <w:p>
            <w:pPr>
              <w:spacing w:after="0"/>
              <w:rPr>
                <w:sz w:val="14"/>
                <w:szCs w:val="14"/>
                <w:color w:val="auto"/>
              </w:rPr>
            </w:pPr>
          </w:p>
        </w:tc>
        <w:tc>
          <w:tcPr>
            <w:tcW w:w="780" w:type="dxa"/>
            <w:vAlign w:val="bottom"/>
            <w:shd w:val="clear" w:color="auto" w:fill="D7E8F5"/>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12/18/2015</w:t>
            </w:r>
          </w:p>
        </w:tc>
        <w:tc>
          <w:tcPr>
            <w:tcW w:w="1120" w:type="dxa"/>
            <w:vAlign w:val="bottom"/>
            <w:gridSpan w:val="3"/>
            <w:shd w:val="clear" w:color="auto" w:fill="D7E8F5"/>
          </w:tcPr>
          <w:p>
            <w:pPr>
              <w:jc w:val="right"/>
              <w:spacing w:after="0" w:line="135" w:lineRule="exact"/>
              <w:rPr>
                <w:sz w:val="20"/>
                <w:szCs w:val="20"/>
                <w:color w:val="auto"/>
              </w:rPr>
            </w:pPr>
            <w:r>
              <w:rPr>
                <w:rFonts w:ascii="Arial" w:cs="Arial" w:eastAsia="Arial" w:hAnsi="Arial"/>
                <w:sz w:val="13"/>
                <w:szCs w:val="13"/>
                <w:color w:val="auto"/>
              </w:rPr>
              <w:t>25,000(4)</w:t>
            </w:r>
          </w:p>
        </w:tc>
        <w:tc>
          <w:tcPr>
            <w:tcW w:w="26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88.95</w:t>
            </w:r>
          </w:p>
        </w:tc>
        <w:tc>
          <w:tcPr>
            <w:tcW w:w="900" w:type="dxa"/>
            <w:vAlign w:val="bottom"/>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12/18/2025</w:t>
            </w: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12/20/2016</w:t>
            </w:r>
          </w:p>
        </w:tc>
        <w:tc>
          <w:tcPr>
            <w:tcW w:w="1120" w:type="dxa"/>
            <w:vAlign w:val="bottom"/>
            <w:gridSpan w:val="3"/>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5,445</w:t>
            </w:r>
          </w:p>
        </w:tc>
        <w:tc>
          <w:tcPr>
            <w:tcW w:w="26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42.22</w:t>
            </w:r>
          </w:p>
        </w:tc>
        <w:tc>
          <w:tcPr>
            <w:tcW w:w="900" w:type="dxa"/>
            <w:vAlign w:val="bottom"/>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12/20/2026</w:t>
            </w: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3/1/2018</w:t>
            </w:r>
          </w:p>
        </w:tc>
        <w:tc>
          <w:tcPr>
            <w:tcW w:w="1120" w:type="dxa"/>
            <w:vAlign w:val="bottom"/>
            <w:gridSpan w:val="3"/>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13,750</w:t>
            </w:r>
          </w:p>
        </w:tc>
        <w:tc>
          <w:tcPr>
            <w:tcW w:w="26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119.13</w:t>
            </w:r>
          </w:p>
        </w:tc>
        <w:tc>
          <w:tcPr>
            <w:tcW w:w="900" w:type="dxa"/>
            <w:vAlign w:val="bottom"/>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3/1/2028</w:t>
            </w: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3/1/2018</w:t>
            </w:r>
          </w:p>
        </w:tc>
        <w:tc>
          <w:tcPr>
            <w:tcW w:w="180" w:type="dxa"/>
            <w:vAlign w:val="bottom"/>
            <w:shd w:val="clear" w:color="auto" w:fill="D7E8F5"/>
          </w:tcPr>
          <w:p>
            <w:pPr>
              <w:spacing w:after="0"/>
              <w:rPr>
                <w:sz w:val="11"/>
                <w:szCs w:val="11"/>
                <w:color w:val="auto"/>
              </w:rPr>
            </w:pPr>
          </w:p>
        </w:tc>
        <w:tc>
          <w:tcPr>
            <w:tcW w:w="940" w:type="dxa"/>
            <w:vAlign w:val="bottom"/>
            <w:gridSpan w:val="2"/>
            <w:shd w:val="clear" w:color="auto" w:fill="D7E8F5"/>
          </w:tcPr>
          <w:p>
            <w:pPr>
              <w:jc w:val="right"/>
              <w:spacing w:after="0" w:line="135" w:lineRule="exact"/>
              <w:rPr>
                <w:sz w:val="20"/>
                <w:szCs w:val="20"/>
                <w:color w:val="auto"/>
              </w:rPr>
            </w:pPr>
            <w:r>
              <w:rPr>
                <w:rFonts w:ascii="Arial" w:cs="Arial" w:eastAsia="Arial" w:hAnsi="Arial"/>
                <w:sz w:val="13"/>
                <w:szCs w:val="13"/>
                <w:color w:val="auto"/>
              </w:rPr>
              <w:t>13,750(3)</w:t>
            </w:r>
          </w:p>
        </w:tc>
        <w:tc>
          <w:tcPr>
            <w:tcW w:w="26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119.13</w:t>
            </w:r>
          </w:p>
        </w:tc>
        <w:tc>
          <w:tcPr>
            <w:tcW w:w="900" w:type="dxa"/>
            <w:vAlign w:val="bottom"/>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3/1/2028</w:t>
            </w: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2/28/2019</w:t>
            </w:r>
          </w:p>
        </w:tc>
        <w:tc>
          <w:tcPr>
            <w:tcW w:w="180" w:type="dxa"/>
            <w:vAlign w:val="bottom"/>
            <w:shd w:val="clear" w:color="auto" w:fill="D7E8F5"/>
          </w:tcPr>
          <w:p>
            <w:pPr>
              <w:spacing w:after="0"/>
              <w:rPr>
                <w:sz w:val="11"/>
                <w:szCs w:val="11"/>
                <w:color w:val="auto"/>
              </w:rPr>
            </w:pPr>
          </w:p>
        </w:tc>
        <w:tc>
          <w:tcPr>
            <w:tcW w:w="60" w:type="dxa"/>
            <w:vAlign w:val="bottom"/>
            <w:shd w:val="clear" w:color="auto" w:fill="D7E8F5"/>
          </w:tcPr>
          <w:p>
            <w:pPr>
              <w:spacing w:after="0"/>
              <w:rPr>
                <w:sz w:val="11"/>
                <w:szCs w:val="11"/>
                <w:color w:val="auto"/>
              </w:rPr>
            </w:pPr>
          </w:p>
        </w:tc>
        <w:tc>
          <w:tcPr>
            <w:tcW w:w="880" w:type="dxa"/>
            <w:vAlign w:val="bottom"/>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25,000</w:t>
            </w:r>
          </w:p>
        </w:tc>
        <w:tc>
          <w:tcPr>
            <w:tcW w:w="26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85.00</w:t>
            </w:r>
          </w:p>
        </w:tc>
        <w:tc>
          <w:tcPr>
            <w:tcW w:w="900" w:type="dxa"/>
            <w:vAlign w:val="bottom"/>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2/28/2029</w:t>
            </w: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2/26/2020</w:t>
            </w:r>
          </w:p>
        </w:tc>
        <w:tc>
          <w:tcPr>
            <w:tcW w:w="180" w:type="dxa"/>
            <w:vAlign w:val="bottom"/>
            <w:shd w:val="clear" w:color="auto" w:fill="D7E8F5"/>
          </w:tcPr>
          <w:p>
            <w:pPr>
              <w:spacing w:after="0"/>
              <w:rPr>
                <w:sz w:val="11"/>
                <w:szCs w:val="11"/>
                <w:color w:val="auto"/>
              </w:rPr>
            </w:pPr>
          </w:p>
        </w:tc>
        <w:tc>
          <w:tcPr>
            <w:tcW w:w="60" w:type="dxa"/>
            <w:vAlign w:val="bottom"/>
            <w:shd w:val="clear" w:color="auto" w:fill="D7E8F5"/>
          </w:tcPr>
          <w:p>
            <w:pPr>
              <w:spacing w:after="0"/>
              <w:rPr>
                <w:sz w:val="11"/>
                <w:szCs w:val="11"/>
                <w:color w:val="auto"/>
              </w:rPr>
            </w:pPr>
          </w:p>
        </w:tc>
        <w:tc>
          <w:tcPr>
            <w:tcW w:w="880" w:type="dxa"/>
            <w:vAlign w:val="bottom"/>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24,458</w:t>
            </w:r>
          </w:p>
        </w:tc>
        <w:tc>
          <w:tcPr>
            <w:tcW w:w="1080" w:type="dxa"/>
            <w:vAlign w:val="bottom"/>
            <w:gridSpan w:val="2"/>
            <w:shd w:val="clear" w:color="auto" w:fill="D7E8F5"/>
          </w:tcPr>
          <w:p>
            <w:pPr>
              <w:jc w:val="right"/>
              <w:spacing w:after="0" w:line="135" w:lineRule="exact"/>
              <w:rPr>
                <w:sz w:val="20"/>
                <w:szCs w:val="20"/>
                <w:color w:val="auto"/>
              </w:rPr>
            </w:pPr>
            <w:r>
              <w:rPr>
                <w:rFonts w:ascii="Arial" w:cs="Arial" w:eastAsia="Arial" w:hAnsi="Arial"/>
                <w:sz w:val="13"/>
                <w:szCs w:val="13"/>
                <w:color w:val="auto"/>
              </w:rPr>
              <w:t>1,631</w:t>
            </w:r>
          </w:p>
        </w:tc>
        <w:tc>
          <w:tcPr>
            <w:tcW w:w="840" w:type="dxa"/>
            <w:vAlign w:val="bottom"/>
            <w:gridSpan w:val="2"/>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118.05</w:t>
            </w:r>
          </w:p>
        </w:tc>
        <w:tc>
          <w:tcPr>
            <w:tcW w:w="900" w:type="dxa"/>
            <w:vAlign w:val="bottom"/>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2/25/2030</w:t>
            </w: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2/24/2021</w:t>
            </w:r>
          </w:p>
        </w:tc>
        <w:tc>
          <w:tcPr>
            <w:tcW w:w="180" w:type="dxa"/>
            <w:vAlign w:val="bottom"/>
            <w:shd w:val="clear" w:color="auto" w:fill="D7E8F5"/>
          </w:tcPr>
          <w:p>
            <w:pPr>
              <w:spacing w:after="0"/>
              <w:rPr>
                <w:sz w:val="11"/>
                <w:szCs w:val="11"/>
                <w:color w:val="auto"/>
              </w:rPr>
            </w:pPr>
          </w:p>
        </w:tc>
        <w:tc>
          <w:tcPr>
            <w:tcW w:w="60" w:type="dxa"/>
            <w:vAlign w:val="bottom"/>
            <w:shd w:val="clear" w:color="auto" w:fill="D7E8F5"/>
          </w:tcPr>
          <w:p>
            <w:pPr>
              <w:spacing w:after="0"/>
              <w:rPr>
                <w:sz w:val="11"/>
                <w:szCs w:val="11"/>
                <w:color w:val="auto"/>
              </w:rPr>
            </w:pPr>
          </w:p>
        </w:tc>
        <w:tc>
          <w:tcPr>
            <w:tcW w:w="880" w:type="dxa"/>
            <w:vAlign w:val="bottom"/>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15,950</w:t>
            </w:r>
          </w:p>
        </w:tc>
        <w:tc>
          <w:tcPr>
            <w:tcW w:w="1080" w:type="dxa"/>
            <w:vAlign w:val="bottom"/>
            <w:gridSpan w:val="2"/>
            <w:shd w:val="clear" w:color="auto" w:fill="D7E8F5"/>
          </w:tcPr>
          <w:p>
            <w:pPr>
              <w:jc w:val="right"/>
              <w:spacing w:after="0" w:line="135" w:lineRule="exact"/>
              <w:rPr>
                <w:sz w:val="20"/>
                <w:szCs w:val="20"/>
                <w:color w:val="auto"/>
              </w:rPr>
            </w:pPr>
            <w:r>
              <w:rPr>
                <w:rFonts w:ascii="Arial" w:cs="Arial" w:eastAsia="Arial" w:hAnsi="Arial"/>
                <w:sz w:val="13"/>
                <w:szCs w:val="13"/>
                <w:color w:val="auto"/>
              </w:rPr>
              <w:t>7,250</w:t>
            </w:r>
          </w:p>
        </w:tc>
        <w:tc>
          <w:tcPr>
            <w:tcW w:w="840" w:type="dxa"/>
            <w:vAlign w:val="bottom"/>
            <w:gridSpan w:val="2"/>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151.59</w:t>
            </w:r>
          </w:p>
        </w:tc>
        <w:tc>
          <w:tcPr>
            <w:tcW w:w="900" w:type="dxa"/>
            <w:vAlign w:val="bottom"/>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2/23/2031</w:t>
            </w: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2/24/2021</w:t>
            </w:r>
          </w:p>
        </w:tc>
        <w:tc>
          <w:tcPr>
            <w:tcW w:w="180" w:type="dxa"/>
            <w:vAlign w:val="bottom"/>
            <w:shd w:val="clear" w:color="auto" w:fill="D7E8F5"/>
          </w:tcPr>
          <w:p>
            <w:pPr>
              <w:spacing w:after="0"/>
              <w:rPr>
                <w:sz w:val="11"/>
                <w:szCs w:val="11"/>
                <w:color w:val="auto"/>
              </w:rPr>
            </w:pPr>
          </w:p>
        </w:tc>
        <w:tc>
          <w:tcPr>
            <w:tcW w:w="6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260" w:type="dxa"/>
            <w:vAlign w:val="bottom"/>
            <w:shd w:val="clear" w:color="auto" w:fill="D7E8F5"/>
          </w:tcPr>
          <w:p>
            <w:pPr>
              <w:spacing w:after="0"/>
              <w:rPr>
                <w:sz w:val="11"/>
                <w:szCs w:val="11"/>
                <w:color w:val="auto"/>
              </w:rPr>
            </w:pPr>
          </w:p>
        </w:tc>
        <w:tc>
          <w:tcPr>
            <w:tcW w:w="820" w:type="dxa"/>
            <w:vAlign w:val="bottom"/>
            <w:shd w:val="clear" w:color="auto" w:fill="D7E8F5"/>
          </w:tcPr>
          <w:p>
            <w:pPr>
              <w:spacing w:after="0"/>
              <w:rPr>
                <w:sz w:val="11"/>
                <w:szCs w:val="11"/>
                <w:color w:val="auto"/>
              </w:rPr>
            </w:pPr>
          </w:p>
        </w:tc>
        <w:tc>
          <w:tcPr>
            <w:tcW w:w="200" w:type="dxa"/>
            <w:vAlign w:val="bottom"/>
            <w:shd w:val="clear" w:color="auto" w:fill="D7E8F5"/>
          </w:tcPr>
          <w:p>
            <w:pPr>
              <w:spacing w:after="0"/>
              <w:rPr>
                <w:sz w:val="11"/>
                <w:szCs w:val="11"/>
                <w:color w:val="auto"/>
              </w:rPr>
            </w:pPr>
          </w:p>
        </w:tc>
        <w:tc>
          <w:tcPr>
            <w:tcW w:w="640" w:type="dxa"/>
            <w:vAlign w:val="bottom"/>
            <w:shd w:val="clear" w:color="auto" w:fill="D7E8F5"/>
          </w:tcPr>
          <w:p>
            <w:pPr>
              <w:spacing w:after="0"/>
              <w:rPr>
                <w:sz w:val="11"/>
                <w:szCs w:val="11"/>
                <w:color w:val="auto"/>
              </w:rPr>
            </w:pPr>
          </w:p>
        </w:tc>
        <w:tc>
          <w:tcPr>
            <w:tcW w:w="900" w:type="dxa"/>
            <w:vAlign w:val="bottom"/>
            <w:shd w:val="clear" w:color="auto" w:fill="D7E8F5"/>
          </w:tcPr>
          <w:p>
            <w:pPr>
              <w:spacing w:after="0"/>
              <w:rPr>
                <w:sz w:val="11"/>
                <w:szCs w:val="11"/>
                <w:color w:val="auto"/>
              </w:rPr>
            </w:pP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6,217(8)</w:t>
            </w:r>
          </w:p>
        </w:tc>
        <w:tc>
          <w:tcPr>
            <w:tcW w:w="78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1,189,996</w:t>
            </w: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12/31/2021</w:t>
            </w:r>
          </w:p>
        </w:tc>
        <w:tc>
          <w:tcPr>
            <w:tcW w:w="180" w:type="dxa"/>
            <w:vAlign w:val="bottom"/>
            <w:shd w:val="clear" w:color="auto" w:fill="D7E8F5"/>
          </w:tcPr>
          <w:p>
            <w:pPr>
              <w:spacing w:after="0"/>
              <w:rPr>
                <w:sz w:val="11"/>
                <w:szCs w:val="11"/>
                <w:color w:val="auto"/>
              </w:rPr>
            </w:pPr>
          </w:p>
        </w:tc>
        <w:tc>
          <w:tcPr>
            <w:tcW w:w="60" w:type="dxa"/>
            <w:vAlign w:val="bottom"/>
            <w:shd w:val="clear" w:color="auto" w:fill="D7E8F5"/>
          </w:tcPr>
          <w:p>
            <w:pPr>
              <w:spacing w:after="0"/>
              <w:rPr>
                <w:sz w:val="11"/>
                <w:szCs w:val="11"/>
                <w:color w:val="auto"/>
              </w:rPr>
            </w:pPr>
          </w:p>
        </w:tc>
        <w:tc>
          <w:tcPr>
            <w:tcW w:w="880" w:type="dxa"/>
            <w:vAlign w:val="bottom"/>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6,714</w:t>
            </w:r>
          </w:p>
        </w:tc>
        <w:tc>
          <w:tcPr>
            <w:tcW w:w="26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6,714</w:t>
            </w:r>
          </w:p>
        </w:tc>
        <w:tc>
          <w:tcPr>
            <w:tcW w:w="840" w:type="dxa"/>
            <w:vAlign w:val="bottom"/>
            <w:gridSpan w:val="2"/>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169.58</w:t>
            </w:r>
          </w:p>
        </w:tc>
        <w:tc>
          <w:tcPr>
            <w:tcW w:w="900" w:type="dxa"/>
            <w:vAlign w:val="bottom"/>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12/30/2031</w:t>
            </w: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2/23/2022</w:t>
            </w:r>
          </w:p>
        </w:tc>
        <w:tc>
          <w:tcPr>
            <w:tcW w:w="180" w:type="dxa"/>
            <w:vAlign w:val="bottom"/>
            <w:shd w:val="clear" w:color="auto" w:fill="D7E8F5"/>
          </w:tcPr>
          <w:p>
            <w:pPr>
              <w:spacing w:after="0"/>
              <w:rPr>
                <w:sz w:val="11"/>
                <w:szCs w:val="11"/>
                <w:color w:val="auto"/>
              </w:rPr>
            </w:pPr>
          </w:p>
        </w:tc>
        <w:tc>
          <w:tcPr>
            <w:tcW w:w="60" w:type="dxa"/>
            <w:vAlign w:val="bottom"/>
            <w:shd w:val="clear" w:color="auto" w:fill="D7E8F5"/>
          </w:tcPr>
          <w:p>
            <w:pPr>
              <w:spacing w:after="0"/>
              <w:rPr>
                <w:sz w:val="11"/>
                <w:szCs w:val="11"/>
                <w:color w:val="auto"/>
              </w:rPr>
            </w:pPr>
          </w:p>
        </w:tc>
        <w:tc>
          <w:tcPr>
            <w:tcW w:w="880" w:type="dxa"/>
            <w:vAlign w:val="bottom"/>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10,556</w:t>
            </w:r>
          </w:p>
        </w:tc>
        <w:tc>
          <w:tcPr>
            <w:tcW w:w="26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13,572</w:t>
            </w:r>
          </w:p>
        </w:tc>
        <w:tc>
          <w:tcPr>
            <w:tcW w:w="840" w:type="dxa"/>
            <w:vAlign w:val="bottom"/>
            <w:gridSpan w:val="2"/>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147.47</w:t>
            </w:r>
          </w:p>
        </w:tc>
        <w:tc>
          <w:tcPr>
            <w:tcW w:w="900" w:type="dxa"/>
            <w:vAlign w:val="bottom"/>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2/22/2032</w:t>
            </w: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2/23/2022</w:t>
            </w:r>
          </w:p>
        </w:tc>
        <w:tc>
          <w:tcPr>
            <w:tcW w:w="180" w:type="dxa"/>
            <w:vAlign w:val="bottom"/>
            <w:shd w:val="clear" w:color="auto" w:fill="D7E8F5"/>
          </w:tcPr>
          <w:p>
            <w:pPr>
              <w:spacing w:after="0"/>
              <w:rPr>
                <w:sz w:val="11"/>
                <w:szCs w:val="11"/>
                <w:color w:val="auto"/>
              </w:rPr>
            </w:pPr>
          </w:p>
        </w:tc>
        <w:tc>
          <w:tcPr>
            <w:tcW w:w="6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260" w:type="dxa"/>
            <w:vAlign w:val="bottom"/>
            <w:shd w:val="clear" w:color="auto" w:fill="D7E8F5"/>
          </w:tcPr>
          <w:p>
            <w:pPr>
              <w:spacing w:after="0"/>
              <w:rPr>
                <w:sz w:val="11"/>
                <w:szCs w:val="11"/>
                <w:color w:val="auto"/>
              </w:rPr>
            </w:pPr>
          </w:p>
        </w:tc>
        <w:tc>
          <w:tcPr>
            <w:tcW w:w="820" w:type="dxa"/>
            <w:vAlign w:val="bottom"/>
            <w:shd w:val="clear" w:color="auto" w:fill="D7E8F5"/>
          </w:tcPr>
          <w:p>
            <w:pPr>
              <w:spacing w:after="0"/>
              <w:rPr>
                <w:sz w:val="11"/>
                <w:szCs w:val="11"/>
                <w:color w:val="auto"/>
              </w:rPr>
            </w:pPr>
          </w:p>
        </w:tc>
        <w:tc>
          <w:tcPr>
            <w:tcW w:w="200" w:type="dxa"/>
            <w:vAlign w:val="bottom"/>
            <w:shd w:val="clear" w:color="auto" w:fill="D7E8F5"/>
          </w:tcPr>
          <w:p>
            <w:pPr>
              <w:spacing w:after="0"/>
              <w:rPr>
                <w:sz w:val="11"/>
                <w:szCs w:val="11"/>
                <w:color w:val="auto"/>
              </w:rPr>
            </w:pPr>
          </w:p>
        </w:tc>
        <w:tc>
          <w:tcPr>
            <w:tcW w:w="640" w:type="dxa"/>
            <w:vAlign w:val="bottom"/>
            <w:shd w:val="clear" w:color="auto" w:fill="D7E8F5"/>
          </w:tcPr>
          <w:p>
            <w:pPr>
              <w:spacing w:after="0"/>
              <w:rPr>
                <w:sz w:val="11"/>
                <w:szCs w:val="11"/>
                <w:color w:val="auto"/>
              </w:rPr>
            </w:pPr>
          </w:p>
        </w:tc>
        <w:tc>
          <w:tcPr>
            <w:tcW w:w="900" w:type="dxa"/>
            <w:vAlign w:val="bottom"/>
            <w:shd w:val="clear" w:color="auto" w:fill="D7E8F5"/>
          </w:tcPr>
          <w:p>
            <w:pPr>
              <w:spacing w:after="0"/>
              <w:rPr>
                <w:sz w:val="11"/>
                <w:szCs w:val="11"/>
                <w:color w:val="auto"/>
              </w:rPr>
            </w:pP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jc w:val="right"/>
              <w:ind w:right="77"/>
              <w:spacing w:after="0" w:line="135" w:lineRule="exact"/>
              <w:rPr>
                <w:sz w:val="20"/>
                <w:szCs w:val="20"/>
                <w:color w:val="auto"/>
              </w:rPr>
            </w:pPr>
            <w:r>
              <w:rPr>
                <w:rFonts w:ascii="Arial" w:cs="Arial" w:eastAsia="Arial" w:hAnsi="Arial"/>
                <w:sz w:val="13"/>
                <w:szCs w:val="13"/>
                <w:color w:val="auto"/>
              </w:rPr>
              <w:t>8,590(9)</w:t>
            </w:r>
          </w:p>
        </w:tc>
        <w:tc>
          <w:tcPr>
            <w:tcW w:w="78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1,644,212</w:t>
            </w: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2/27/2023</w:t>
            </w:r>
          </w:p>
        </w:tc>
        <w:tc>
          <w:tcPr>
            <w:tcW w:w="180" w:type="dxa"/>
            <w:vAlign w:val="bottom"/>
            <w:shd w:val="clear" w:color="auto" w:fill="D7E8F5"/>
          </w:tcPr>
          <w:p>
            <w:pPr>
              <w:spacing w:after="0"/>
              <w:rPr>
                <w:sz w:val="11"/>
                <w:szCs w:val="11"/>
                <w:color w:val="auto"/>
              </w:rPr>
            </w:pPr>
          </w:p>
        </w:tc>
        <w:tc>
          <w:tcPr>
            <w:tcW w:w="60" w:type="dxa"/>
            <w:vAlign w:val="bottom"/>
            <w:shd w:val="clear" w:color="auto" w:fill="D7E8F5"/>
          </w:tcPr>
          <w:p>
            <w:pPr>
              <w:spacing w:after="0"/>
              <w:rPr>
                <w:sz w:val="11"/>
                <w:szCs w:val="11"/>
                <w:color w:val="auto"/>
              </w:rPr>
            </w:pPr>
          </w:p>
        </w:tc>
        <w:tc>
          <w:tcPr>
            <w:tcW w:w="880" w:type="dxa"/>
            <w:vAlign w:val="bottom"/>
            <w:shd w:val="clear" w:color="auto" w:fill="D7E8F5"/>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D7E8F5"/>
          </w:tcPr>
          <w:p>
            <w:pPr>
              <w:spacing w:after="0"/>
              <w:rPr>
                <w:sz w:val="11"/>
                <w:szCs w:val="11"/>
                <w:color w:val="auto"/>
              </w:rPr>
            </w:pPr>
          </w:p>
        </w:tc>
        <w:tc>
          <w:tcPr>
            <w:tcW w:w="8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11,850</w:t>
            </w:r>
          </w:p>
        </w:tc>
        <w:tc>
          <w:tcPr>
            <w:tcW w:w="200" w:type="dxa"/>
            <w:vAlign w:val="bottom"/>
            <w:shd w:val="clear" w:color="auto" w:fill="D7E8F5"/>
          </w:tcPr>
          <w:p>
            <w:pPr>
              <w:spacing w:after="0"/>
              <w:rPr>
                <w:sz w:val="11"/>
                <w:szCs w:val="11"/>
                <w:color w:val="auto"/>
              </w:rPr>
            </w:pPr>
          </w:p>
        </w:tc>
        <w:tc>
          <w:tcPr>
            <w:tcW w:w="640" w:type="dxa"/>
            <w:vAlign w:val="bottom"/>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190.01</w:t>
            </w:r>
          </w:p>
        </w:tc>
        <w:tc>
          <w:tcPr>
            <w:tcW w:w="900" w:type="dxa"/>
            <w:vAlign w:val="bottom"/>
            <w:shd w:val="clear" w:color="auto" w:fill="D7E8F5"/>
          </w:tcPr>
          <w:p>
            <w:pPr>
              <w:jc w:val="right"/>
              <w:ind w:right="57"/>
              <w:spacing w:after="0" w:line="135" w:lineRule="exact"/>
              <w:rPr>
                <w:sz w:val="20"/>
                <w:szCs w:val="20"/>
                <w:color w:val="auto"/>
              </w:rPr>
            </w:pPr>
            <w:r>
              <w:rPr>
                <w:rFonts w:ascii="Arial" w:cs="Arial" w:eastAsia="Arial" w:hAnsi="Arial"/>
                <w:sz w:val="13"/>
                <w:szCs w:val="13"/>
                <w:color w:val="auto"/>
              </w:rPr>
              <w:t>2/26/2033</w:t>
            </w: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60" w:type="dxa"/>
            <w:vAlign w:val="bottom"/>
            <w:shd w:val="clear" w:color="auto" w:fill="D7E8F5"/>
          </w:tcPr>
          <w:p>
            <w:pPr>
              <w:spacing w:after="0"/>
              <w:rPr>
                <w:sz w:val="13"/>
                <w:szCs w:val="13"/>
                <w:color w:val="auto"/>
              </w:rPr>
            </w:pPr>
          </w:p>
        </w:tc>
        <w:tc>
          <w:tcPr>
            <w:tcW w:w="160" w:type="dxa"/>
            <w:vAlign w:val="bottom"/>
            <w:shd w:val="clear" w:color="auto" w:fill="D7E8F5"/>
          </w:tcPr>
          <w:p>
            <w:pPr>
              <w:spacing w:after="0"/>
              <w:rPr>
                <w:sz w:val="13"/>
                <w:szCs w:val="13"/>
                <w:color w:val="auto"/>
              </w:rPr>
            </w:pPr>
          </w:p>
        </w:tc>
        <w:tc>
          <w:tcPr>
            <w:tcW w:w="720" w:type="dxa"/>
            <w:vAlign w:val="bottom"/>
            <w:shd w:val="clear" w:color="auto" w:fill="D7E8F5"/>
          </w:tcPr>
          <w:p>
            <w:pPr>
              <w:jc w:val="right"/>
              <w:spacing w:after="0"/>
              <w:rPr>
                <w:sz w:val="20"/>
                <w:szCs w:val="20"/>
                <w:color w:val="auto"/>
              </w:rPr>
            </w:pPr>
            <w:r>
              <w:rPr>
                <w:rFonts w:ascii="Arial" w:cs="Arial" w:eastAsia="Arial" w:hAnsi="Arial"/>
                <w:sz w:val="13"/>
                <w:szCs w:val="13"/>
                <w:color w:val="auto"/>
              </w:rPr>
              <w:t>2/27/2023</w:t>
            </w:r>
          </w:p>
        </w:tc>
        <w:tc>
          <w:tcPr>
            <w:tcW w:w="180" w:type="dxa"/>
            <w:vAlign w:val="bottom"/>
            <w:shd w:val="clear" w:color="auto" w:fill="D7E8F5"/>
          </w:tcPr>
          <w:p>
            <w:pPr>
              <w:spacing w:after="0"/>
              <w:rPr>
                <w:sz w:val="13"/>
                <w:szCs w:val="13"/>
                <w:color w:val="auto"/>
              </w:rPr>
            </w:pPr>
          </w:p>
        </w:tc>
        <w:tc>
          <w:tcPr>
            <w:tcW w:w="60" w:type="dxa"/>
            <w:vAlign w:val="bottom"/>
            <w:shd w:val="clear" w:color="auto" w:fill="D7E8F5"/>
          </w:tcPr>
          <w:p>
            <w:pPr>
              <w:spacing w:after="0"/>
              <w:rPr>
                <w:sz w:val="13"/>
                <w:szCs w:val="13"/>
                <w:color w:val="auto"/>
              </w:rPr>
            </w:pPr>
          </w:p>
        </w:tc>
        <w:tc>
          <w:tcPr>
            <w:tcW w:w="880" w:type="dxa"/>
            <w:vAlign w:val="bottom"/>
            <w:shd w:val="clear" w:color="auto" w:fill="D7E8F5"/>
          </w:tcPr>
          <w:p>
            <w:pPr>
              <w:spacing w:after="0"/>
              <w:rPr>
                <w:sz w:val="13"/>
                <w:szCs w:val="13"/>
                <w:color w:val="auto"/>
              </w:rPr>
            </w:pPr>
          </w:p>
        </w:tc>
        <w:tc>
          <w:tcPr>
            <w:tcW w:w="260" w:type="dxa"/>
            <w:vAlign w:val="bottom"/>
            <w:shd w:val="clear" w:color="auto" w:fill="D7E8F5"/>
          </w:tcPr>
          <w:p>
            <w:pPr>
              <w:spacing w:after="0"/>
              <w:rPr>
                <w:sz w:val="13"/>
                <w:szCs w:val="13"/>
                <w:color w:val="auto"/>
              </w:rPr>
            </w:pPr>
          </w:p>
        </w:tc>
        <w:tc>
          <w:tcPr>
            <w:tcW w:w="820" w:type="dxa"/>
            <w:vAlign w:val="bottom"/>
            <w:shd w:val="clear" w:color="auto" w:fill="D7E8F5"/>
          </w:tcPr>
          <w:p>
            <w:pPr>
              <w:spacing w:after="0"/>
              <w:rPr>
                <w:sz w:val="13"/>
                <w:szCs w:val="13"/>
                <w:color w:val="auto"/>
              </w:rPr>
            </w:pPr>
          </w:p>
        </w:tc>
        <w:tc>
          <w:tcPr>
            <w:tcW w:w="200" w:type="dxa"/>
            <w:vAlign w:val="bottom"/>
            <w:shd w:val="clear" w:color="auto" w:fill="D7E8F5"/>
          </w:tcPr>
          <w:p>
            <w:pPr>
              <w:spacing w:after="0"/>
              <w:rPr>
                <w:sz w:val="13"/>
                <w:szCs w:val="13"/>
                <w:color w:val="auto"/>
              </w:rPr>
            </w:pPr>
          </w:p>
        </w:tc>
        <w:tc>
          <w:tcPr>
            <w:tcW w:w="640" w:type="dxa"/>
            <w:vAlign w:val="bottom"/>
            <w:shd w:val="clear" w:color="auto" w:fill="D7E8F5"/>
          </w:tcPr>
          <w:p>
            <w:pPr>
              <w:spacing w:after="0"/>
              <w:rPr>
                <w:sz w:val="13"/>
                <w:szCs w:val="13"/>
                <w:color w:val="auto"/>
              </w:rPr>
            </w:pPr>
          </w:p>
        </w:tc>
        <w:tc>
          <w:tcPr>
            <w:tcW w:w="900" w:type="dxa"/>
            <w:vAlign w:val="bottom"/>
            <w:shd w:val="clear" w:color="auto" w:fill="D7E8F5"/>
          </w:tcPr>
          <w:p>
            <w:pPr>
              <w:spacing w:after="0"/>
              <w:rPr>
                <w:sz w:val="13"/>
                <w:szCs w:val="13"/>
                <w:color w:val="auto"/>
              </w:rPr>
            </w:pPr>
          </w:p>
        </w:tc>
        <w:tc>
          <w:tcPr>
            <w:tcW w:w="1080" w:type="dxa"/>
            <w:vAlign w:val="bottom"/>
            <w:shd w:val="clear" w:color="auto" w:fill="D7E8F5"/>
          </w:tcPr>
          <w:p>
            <w:pPr>
              <w:spacing w:after="0"/>
              <w:rPr>
                <w:sz w:val="13"/>
                <w:szCs w:val="13"/>
                <w:color w:val="auto"/>
              </w:rPr>
            </w:pPr>
          </w:p>
        </w:tc>
        <w:tc>
          <w:tcPr>
            <w:tcW w:w="880" w:type="dxa"/>
            <w:vAlign w:val="bottom"/>
            <w:shd w:val="clear" w:color="auto" w:fill="D7E8F5"/>
          </w:tcPr>
          <w:p>
            <w:pPr>
              <w:spacing w:after="0"/>
              <w:rPr>
                <w:sz w:val="13"/>
                <w:szCs w:val="13"/>
                <w:color w:val="auto"/>
              </w:rPr>
            </w:pPr>
          </w:p>
        </w:tc>
        <w:tc>
          <w:tcPr>
            <w:tcW w:w="1000" w:type="dxa"/>
            <w:vAlign w:val="bottom"/>
            <w:shd w:val="clear" w:color="auto" w:fill="D7E8F5"/>
          </w:tcPr>
          <w:p>
            <w:pPr>
              <w:jc w:val="right"/>
              <w:ind w:right="17"/>
              <w:spacing w:after="0"/>
              <w:rPr>
                <w:sz w:val="20"/>
                <w:szCs w:val="20"/>
                <w:color w:val="auto"/>
              </w:rPr>
            </w:pPr>
            <w:r>
              <w:rPr>
                <w:rFonts w:ascii="Arial" w:cs="Arial" w:eastAsia="Arial" w:hAnsi="Arial"/>
                <w:sz w:val="13"/>
                <w:szCs w:val="13"/>
                <w:color w:val="auto"/>
              </w:rPr>
              <w:t>11,447(10)</w:t>
            </w:r>
          </w:p>
        </w:tc>
        <w:tc>
          <w:tcPr>
            <w:tcW w:w="780" w:type="dxa"/>
            <w:vAlign w:val="bottom"/>
            <w:shd w:val="clear" w:color="auto" w:fill="D7E8F5"/>
          </w:tcPr>
          <w:p>
            <w:pPr>
              <w:jc w:val="right"/>
              <w:ind w:right="37"/>
              <w:spacing w:after="0"/>
              <w:rPr>
                <w:sz w:val="20"/>
                <w:szCs w:val="20"/>
                <w:color w:val="auto"/>
              </w:rPr>
            </w:pPr>
            <w:r>
              <w:rPr>
                <w:rFonts w:ascii="Arial" w:cs="Arial" w:eastAsia="Arial" w:hAnsi="Arial"/>
                <w:sz w:val="13"/>
                <w:szCs w:val="13"/>
                <w:color w:val="auto"/>
              </w:rPr>
              <w:t>2,191,070</w:t>
            </w:r>
          </w:p>
        </w:tc>
        <w:tc>
          <w:tcPr>
            <w:tcW w:w="0" w:type="dxa"/>
            <w:vAlign w:val="bottom"/>
          </w:tcPr>
          <w:p>
            <w:pPr>
              <w:spacing w:after="0"/>
              <w:rPr>
                <w:sz w:val="1"/>
                <w:szCs w:val="1"/>
                <w:color w:val="auto"/>
              </w:rPr>
            </w:pPr>
          </w:p>
        </w:tc>
      </w:tr>
      <w:tr>
        <w:trPr>
          <w:trHeight w:val="209"/>
        </w:trPr>
        <w:tc>
          <w:tcPr>
            <w:tcW w:w="2460" w:type="dxa"/>
            <w:vAlign w:val="bottom"/>
            <w:tcBorders>
              <w:bottom w:val="single" w:sz="8" w:color="D7E8F5"/>
            </w:tcBorders>
            <w:shd w:val="clear" w:color="auto" w:fill="D7E8F5"/>
          </w:tcPr>
          <w:p>
            <w:pPr>
              <w:spacing w:after="0"/>
              <w:rPr>
                <w:sz w:val="18"/>
                <w:szCs w:val="18"/>
                <w:color w:val="auto"/>
              </w:rPr>
            </w:pPr>
          </w:p>
        </w:tc>
        <w:tc>
          <w:tcPr>
            <w:tcW w:w="880" w:type="dxa"/>
            <w:vAlign w:val="bottom"/>
            <w:tcBorders>
              <w:bottom w:val="single" w:sz="8" w:color="D7E8F5"/>
            </w:tcBorders>
            <w:gridSpan w:val="2"/>
            <w:shd w:val="clear" w:color="auto" w:fill="D7E8F5"/>
          </w:tcPr>
          <w:p>
            <w:pPr>
              <w:jc w:val="right"/>
              <w:spacing w:after="0"/>
              <w:rPr>
                <w:sz w:val="20"/>
                <w:szCs w:val="20"/>
                <w:color w:val="auto"/>
              </w:rPr>
            </w:pPr>
            <w:r>
              <w:rPr>
                <w:rFonts w:ascii="Arial" w:cs="Arial" w:eastAsia="Arial" w:hAnsi="Arial"/>
                <w:sz w:val="13"/>
                <w:szCs w:val="13"/>
                <w:color w:val="auto"/>
              </w:rPr>
              <w:t>2/27/2023</w:t>
            </w:r>
          </w:p>
        </w:tc>
        <w:tc>
          <w:tcPr>
            <w:tcW w:w="180" w:type="dxa"/>
            <w:vAlign w:val="bottom"/>
            <w:tcBorders>
              <w:bottom w:val="single" w:sz="8" w:color="D7E8F5"/>
            </w:tcBorders>
            <w:shd w:val="clear" w:color="auto" w:fill="D7E8F5"/>
          </w:tcPr>
          <w:p>
            <w:pPr>
              <w:spacing w:after="0"/>
              <w:rPr>
                <w:sz w:val="18"/>
                <w:szCs w:val="18"/>
                <w:color w:val="auto"/>
              </w:rPr>
            </w:pPr>
          </w:p>
        </w:tc>
        <w:tc>
          <w:tcPr>
            <w:tcW w:w="60" w:type="dxa"/>
            <w:vAlign w:val="bottom"/>
            <w:tcBorders>
              <w:bottom w:val="single" w:sz="8" w:color="D7E8F5"/>
            </w:tcBorders>
            <w:shd w:val="clear" w:color="auto" w:fill="D7E8F5"/>
          </w:tcPr>
          <w:p>
            <w:pPr>
              <w:spacing w:after="0"/>
              <w:rPr>
                <w:sz w:val="18"/>
                <w:szCs w:val="18"/>
                <w:color w:val="auto"/>
              </w:rPr>
            </w:pPr>
          </w:p>
        </w:tc>
        <w:tc>
          <w:tcPr>
            <w:tcW w:w="880" w:type="dxa"/>
            <w:vAlign w:val="bottom"/>
            <w:tcBorders>
              <w:bottom w:val="single" w:sz="8" w:color="D7E8F5"/>
            </w:tcBorders>
            <w:shd w:val="clear" w:color="auto" w:fill="D7E8F5"/>
          </w:tcPr>
          <w:p>
            <w:pPr>
              <w:spacing w:after="0"/>
              <w:rPr>
                <w:sz w:val="18"/>
                <w:szCs w:val="18"/>
                <w:color w:val="auto"/>
              </w:rPr>
            </w:pPr>
          </w:p>
        </w:tc>
        <w:tc>
          <w:tcPr>
            <w:tcW w:w="260" w:type="dxa"/>
            <w:vAlign w:val="bottom"/>
            <w:tcBorders>
              <w:bottom w:val="single" w:sz="8" w:color="D7E8F5"/>
            </w:tcBorders>
            <w:shd w:val="clear" w:color="auto" w:fill="D7E8F5"/>
          </w:tcPr>
          <w:p>
            <w:pPr>
              <w:spacing w:after="0"/>
              <w:rPr>
                <w:sz w:val="18"/>
                <w:szCs w:val="18"/>
                <w:color w:val="auto"/>
              </w:rPr>
            </w:pPr>
          </w:p>
        </w:tc>
        <w:tc>
          <w:tcPr>
            <w:tcW w:w="820" w:type="dxa"/>
            <w:vAlign w:val="bottom"/>
            <w:tcBorders>
              <w:bottom w:val="single" w:sz="8" w:color="D7E8F5"/>
            </w:tcBorders>
            <w:shd w:val="clear" w:color="auto" w:fill="D7E8F5"/>
          </w:tcPr>
          <w:p>
            <w:pPr>
              <w:spacing w:after="0"/>
              <w:rPr>
                <w:sz w:val="18"/>
                <w:szCs w:val="18"/>
                <w:color w:val="auto"/>
              </w:rPr>
            </w:pPr>
          </w:p>
        </w:tc>
        <w:tc>
          <w:tcPr>
            <w:tcW w:w="200" w:type="dxa"/>
            <w:vAlign w:val="bottom"/>
            <w:tcBorders>
              <w:bottom w:val="single" w:sz="8" w:color="D7E8F5"/>
            </w:tcBorders>
            <w:shd w:val="clear" w:color="auto" w:fill="D7E8F5"/>
          </w:tcPr>
          <w:p>
            <w:pPr>
              <w:spacing w:after="0"/>
              <w:rPr>
                <w:sz w:val="18"/>
                <w:szCs w:val="18"/>
                <w:color w:val="auto"/>
              </w:rPr>
            </w:pPr>
          </w:p>
        </w:tc>
        <w:tc>
          <w:tcPr>
            <w:tcW w:w="640" w:type="dxa"/>
            <w:vAlign w:val="bottom"/>
            <w:tcBorders>
              <w:bottom w:val="single" w:sz="8" w:color="D7E8F5"/>
            </w:tcBorders>
            <w:shd w:val="clear" w:color="auto" w:fill="D7E8F5"/>
          </w:tcPr>
          <w:p>
            <w:pPr>
              <w:spacing w:after="0"/>
              <w:rPr>
                <w:sz w:val="18"/>
                <w:szCs w:val="18"/>
                <w:color w:val="auto"/>
              </w:rPr>
            </w:pPr>
          </w:p>
        </w:tc>
        <w:tc>
          <w:tcPr>
            <w:tcW w:w="900" w:type="dxa"/>
            <w:vAlign w:val="bottom"/>
            <w:tcBorders>
              <w:bottom w:val="single" w:sz="8" w:color="D7E8F5"/>
            </w:tcBorders>
            <w:shd w:val="clear" w:color="auto" w:fill="D7E8F5"/>
          </w:tcPr>
          <w:p>
            <w:pPr>
              <w:spacing w:after="0"/>
              <w:rPr>
                <w:sz w:val="18"/>
                <w:szCs w:val="18"/>
                <w:color w:val="auto"/>
              </w:rPr>
            </w:pPr>
          </w:p>
        </w:tc>
        <w:tc>
          <w:tcPr>
            <w:tcW w:w="1080" w:type="dxa"/>
            <w:vAlign w:val="bottom"/>
            <w:tcBorders>
              <w:bottom w:val="single" w:sz="8" w:color="D7E8F5"/>
            </w:tcBorders>
            <w:shd w:val="clear" w:color="auto" w:fill="D7E8F5"/>
          </w:tcPr>
          <w:p>
            <w:pPr>
              <w:jc w:val="right"/>
              <w:ind w:right="57"/>
              <w:spacing w:after="0"/>
              <w:rPr>
                <w:sz w:val="20"/>
                <w:szCs w:val="20"/>
                <w:color w:val="auto"/>
              </w:rPr>
            </w:pPr>
            <w:r>
              <w:rPr>
                <w:rFonts w:ascii="Arial" w:cs="Arial" w:eastAsia="Arial" w:hAnsi="Arial"/>
                <w:sz w:val="13"/>
                <w:szCs w:val="13"/>
                <w:color w:val="auto"/>
              </w:rPr>
              <w:t>5,724(11)</w:t>
            </w:r>
          </w:p>
        </w:tc>
        <w:tc>
          <w:tcPr>
            <w:tcW w:w="880" w:type="dxa"/>
            <w:vAlign w:val="bottom"/>
            <w:tcBorders>
              <w:bottom w:val="single" w:sz="8" w:color="D7E8F5"/>
            </w:tcBorders>
            <w:shd w:val="clear" w:color="auto" w:fill="D7E8F5"/>
          </w:tcPr>
          <w:p>
            <w:pPr>
              <w:jc w:val="right"/>
              <w:ind w:right="57"/>
              <w:spacing w:after="0"/>
              <w:rPr>
                <w:sz w:val="20"/>
                <w:szCs w:val="20"/>
                <w:color w:val="auto"/>
              </w:rPr>
            </w:pPr>
            <w:r>
              <w:rPr>
                <w:rFonts w:ascii="Arial" w:cs="Arial" w:eastAsia="Arial" w:hAnsi="Arial"/>
                <w:sz w:val="13"/>
                <w:szCs w:val="13"/>
                <w:color w:val="auto"/>
              </w:rPr>
              <w:t>1,095,631</w:t>
            </w:r>
          </w:p>
        </w:tc>
        <w:tc>
          <w:tcPr>
            <w:tcW w:w="1000" w:type="dxa"/>
            <w:vAlign w:val="bottom"/>
            <w:tcBorders>
              <w:bottom w:val="single" w:sz="8" w:color="D7E8F5"/>
            </w:tcBorders>
            <w:shd w:val="clear" w:color="auto" w:fill="D7E8F5"/>
          </w:tcPr>
          <w:p>
            <w:pPr>
              <w:spacing w:after="0"/>
              <w:rPr>
                <w:sz w:val="18"/>
                <w:szCs w:val="18"/>
                <w:color w:val="auto"/>
              </w:rPr>
            </w:pPr>
          </w:p>
        </w:tc>
        <w:tc>
          <w:tcPr>
            <w:tcW w:w="780" w:type="dxa"/>
            <w:vAlign w:val="bottom"/>
            <w:tcBorders>
              <w:bottom w:val="single" w:sz="8" w:color="D7E8F5"/>
            </w:tcBorders>
            <w:shd w:val="clear" w:color="auto" w:fill="D7E8F5"/>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80"/>
              <w:spacing w:after="0"/>
              <w:rPr>
                <w:sz w:val="20"/>
                <w:szCs w:val="20"/>
                <w:color w:val="auto"/>
              </w:rPr>
            </w:pPr>
            <w:r>
              <w:rPr>
                <w:rFonts w:ascii="Arial" w:cs="Arial" w:eastAsia="Arial" w:hAnsi="Arial"/>
                <w:sz w:val="13"/>
                <w:szCs w:val="13"/>
                <w:color w:val="auto"/>
              </w:rPr>
              <w:t>Tolga Tanguler</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2/1/2021</w:t>
            </w:r>
          </w:p>
        </w:tc>
        <w:tc>
          <w:tcPr>
            <w:tcW w:w="1120" w:type="dxa"/>
            <w:vAlign w:val="bottom"/>
            <w:gridSpan w:val="3"/>
          </w:tcPr>
          <w:p>
            <w:pPr>
              <w:jc w:val="right"/>
              <w:ind w:right="117"/>
              <w:spacing w:after="0"/>
              <w:rPr>
                <w:sz w:val="20"/>
                <w:szCs w:val="20"/>
                <w:color w:val="auto"/>
              </w:rPr>
            </w:pPr>
            <w:r>
              <w:rPr>
                <w:rFonts w:ascii="Arial" w:cs="Arial" w:eastAsia="Arial" w:hAnsi="Arial"/>
                <w:sz w:val="13"/>
                <w:szCs w:val="13"/>
                <w:color w:val="auto"/>
              </w:rPr>
              <w:t>38,818</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17,645</w:t>
            </w: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149.25</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1/31/2031</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2/23/2022</w:t>
            </w:r>
          </w:p>
        </w:tc>
        <w:tc>
          <w:tcPr>
            <w:tcW w:w="1120" w:type="dxa"/>
            <w:vAlign w:val="bottom"/>
            <w:gridSpan w:val="3"/>
          </w:tcPr>
          <w:p>
            <w:pPr>
              <w:jc w:val="right"/>
              <w:ind w:right="117"/>
              <w:spacing w:after="0" w:line="135" w:lineRule="exact"/>
              <w:rPr>
                <w:sz w:val="20"/>
                <w:szCs w:val="20"/>
                <w:color w:val="auto"/>
              </w:rPr>
            </w:pPr>
            <w:r>
              <w:rPr>
                <w:rFonts w:ascii="Arial" w:cs="Arial" w:eastAsia="Arial" w:hAnsi="Arial"/>
                <w:sz w:val="13"/>
                <w:szCs w:val="13"/>
                <w:color w:val="auto"/>
              </w:rPr>
              <w:t>8,056</w:t>
            </w: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10,357</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147.47</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2/22/2032</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2/23/2022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6,556(9)</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1,254,884</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2/27/2023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10,352</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190.01</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2/26/2033</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2/27/2023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10,000(10)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1,914,100</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2/27/2023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5,000(11)</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957,050</w:t>
            </w: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D7E8F5"/>
          </w:tcPr>
          <w:p>
            <w:pPr>
              <w:ind w:left="80"/>
              <w:spacing w:after="0"/>
              <w:rPr>
                <w:sz w:val="20"/>
                <w:szCs w:val="20"/>
                <w:color w:val="auto"/>
              </w:rPr>
            </w:pPr>
            <w:r>
              <w:rPr>
                <w:rFonts w:ascii="Arial" w:cs="Arial" w:eastAsia="Arial" w:hAnsi="Arial"/>
                <w:sz w:val="13"/>
                <w:szCs w:val="13"/>
                <w:color w:val="auto"/>
              </w:rPr>
              <w:t>Indrani L. Franchini, J.D. (13)</w:t>
            </w:r>
          </w:p>
        </w:tc>
        <w:tc>
          <w:tcPr>
            <w:tcW w:w="160" w:type="dxa"/>
            <w:vAlign w:val="bottom"/>
            <w:shd w:val="clear" w:color="auto" w:fill="D7E8F5"/>
          </w:tcPr>
          <w:p>
            <w:pPr>
              <w:spacing w:after="0"/>
              <w:rPr>
                <w:sz w:val="16"/>
                <w:szCs w:val="16"/>
                <w:color w:val="auto"/>
              </w:rPr>
            </w:pPr>
          </w:p>
        </w:tc>
        <w:tc>
          <w:tcPr>
            <w:tcW w:w="720" w:type="dxa"/>
            <w:vAlign w:val="bottom"/>
            <w:shd w:val="clear" w:color="auto" w:fill="D7E8F5"/>
          </w:tcPr>
          <w:p>
            <w:pPr>
              <w:jc w:val="right"/>
              <w:spacing w:after="0"/>
              <w:rPr>
                <w:sz w:val="20"/>
                <w:szCs w:val="20"/>
                <w:color w:val="auto"/>
              </w:rPr>
            </w:pPr>
            <w:r>
              <w:rPr>
                <w:rFonts w:ascii="Arial" w:cs="Arial" w:eastAsia="Arial" w:hAnsi="Arial"/>
                <w:sz w:val="13"/>
                <w:szCs w:val="13"/>
                <w:color w:val="auto"/>
              </w:rPr>
              <w:t>2/1/2022</w:t>
            </w:r>
          </w:p>
        </w:tc>
        <w:tc>
          <w:tcPr>
            <w:tcW w:w="1120" w:type="dxa"/>
            <w:vAlign w:val="bottom"/>
            <w:gridSpan w:val="3"/>
            <w:shd w:val="clear" w:color="auto" w:fill="D7E8F5"/>
          </w:tcPr>
          <w:p>
            <w:pPr>
              <w:jc w:val="right"/>
              <w:ind w:right="117"/>
              <w:spacing w:after="0"/>
              <w:rPr>
                <w:sz w:val="20"/>
                <w:szCs w:val="20"/>
                <w:color w:val="auto"/>
              </w:rPr>
            </w:pPr>
            <w:r>
              <w:rPr>
                <w:rFonts w:ascii="Arial" w:cs="Arial" w:eastAsia="Arial" w:hAnsi="Arial"/>
                <w:sz w:val="13"/>
                <w:szCs w:val="13"/>
                <w:color w:val="auto"/>
              </w:rPr>
              <w:t>12,767</w:t>
            </w:r>
          </w:p>
        </w:tc>
        <w:tc>
          <w:tcPr>
            <w:tcW w:w="1080" w:type="dxa"/>
            <w:vAlign w:val="bottom"/>
            <w:gridSpan w:val="2"/>
            <w:shd w:val="clear" w:color="auto" w:fill="D7E8F5"/>
          </w:tcPr>
          <w:p>
            <w:pPr>
              <w:jc w:val="right"/>
              <w:spacing w:after="0"/>
              <w:rPr>
                <w:sz w:val="20"/>
                <w:szCs w:val="20"/>
                <w:color w:val="auto"/>
              </w:rPr>
            </w:pPr>
            <w:r>
              <w:rPr>
                <w:rFonts w:ascii="Arial" w:cs="Arial" w:eastAsia="Arial" w:hAnsi="Arial"/>
                <w:sz w:val="13"/>
                <w:szCs w:val="13"/>
                <w:color w:val="auto"/>
              </w:rPr>
              <w:t>16,415</w:t>
            </w:r>
          </w:p>
        </w:tc>
        <w:tc>
          <w:tcPr>
            <w:tcW w:w="840" w:type="dxa"/>
            <w:vAlign w:val="bottom"/>
            <w:gridSpan w:val="2"/>
            <w:shd w:val="clear" w:color="auto" w:fill="D7E8F5"/>
          </w:tcPr>
          <w:p>
            <w:pPr>
              <w:jc w:val="right"/>
              <w:ind w:right="57"/>
              <w:spacing w:after="0"/>
              <w:rPr>
                <w:sz w:val="20"/>
                <w:szCs w:val="20"/>
                <w:color w:val="auto"/>
              </w:rPr>
            </w:pPr>
            <w:r>
              <w:rPr>
                <w:rFonts w:ascii="Arial" w:cs="Arial" w:eastAsia="Arial" w:hAnsi="Arial"/>
                <w:sz w:val="13"/>
                <w:szCs w:val="13"/>
                <w:color w:val="auto"/>
              </w:rPr>
              <w:t>147.47</w:t>
            </w:r>
          </w:p>
        </w:tc>
        <w:tc>
          <w:tcPr>
            <w:tcW w:w="900" w:type="dxa"/>
            <w:vAlign w:val="bottom"/>
            <w:shd w:val="clear" w:color="auto" w:fill="D7E8F5"/>
          </w:tcPr>
          <w:p>
            <w:pPr>
              <w:jc w:val="right"/>
              <w:ind w:right="57"/>
              <w:spacing w:after="0"/>
              <w:rPr>
                <w:sz w:val="20"/>
                <w:szCs w:val="20"/>
                <w:color w:val="auto"/>
              </w:rPr>
            </w:pPr>
            <w:r>
              <w:rPr>
                <w:rFonts w:ascii="Arial" w:cs="Arial" w:eastAsia="Arial" w:hAnsi="Arial"/>
                <w:sz w:val="13"/>
                <w:szCs w:val="13"/>
                <w:color w:val="auto"/>
              </w:rPr>
              <w:t>2/22/2032</w:t>
            </w:r>
          </w:p>
        </w:tc>
        <w:tc>
          <w:tcPr>
            <w:tcW w:w="1080" w:type="dxa"/>
            <w:vAlign w:val="bottom"/>
            <w:vMerge w:val="restart"/>
            <w:shd w:val="clear" w:color="auto" w:fill="D7E8F5"/>
          </w:tcPr>
          <w:p>
            <w:pPr>
              <w:jc w:val="right"/>
              <w:ind w:right="37"/>
              <w:spacing w:after="0"/>
              <w:rPr>
                <w:sz w:val="20"/>
                <w:szCs w:val="20"/>
                <w:color w:val="auto"/>
              </w:rPr>
            </w:pPr>
            <w:r>
              <w:rPr>
                <w:rFonts w:ascii="Arial" w:cs="Arial" w:eastAsia="Arial" w:hAnsi="Arial"/>
                <w:sz w:val="13"/>
                <w:szCs w:val="13"/>
                <w:color w:val="auto"/>
              </w:rPr>
              <w:t>10,350(12)</w:t>
            </w:r>
          </w:p>
        </w:tc>
        <w:tc>
          <w:tcPr>
            <w:tcW w:w="880" w:type="dxa"/>
            <w:vAlign w:val="bottom"/>
            <w:vMerge w:val="restart"/>
            <w:shd w:val="clear" w:color="auto" w:fill="D7E8F5"/>
          </w:tcPr>
          <w:p>
            <w:pPr>
              <w:jc w:val="right"/>
              <w:ind w:right="57"/>
              <w:spacing w:after="0"/>
              <w:rPr>
                <w:sz w:val="20"/>
                <w:szCs w:val="20"/>
                <w:color w:val="auto"/>
              </w:rPr>
            </w:pPr>
            <w:r>
              <w:rPr>
                <w:rFonts w:ascii="Arial" w:cs="Arial" w:eastAsia="Arial" w:hAnsi="Arial"/>
                <w:sz w:val="13"/>
                <w:szCs w:val="13"/>
                <w:color w:val="auto"/>
              </w:rPr>
              <w:t>1,981,094</w:t>
            </w:r>
          </w:p>
        </w:tc>
        <w:tc>
          <w:tcPr>
            <w:tcW w:w="1000" w:type="dxa"/>
            <w:vAlign w:val="bottom"/>
            <w:shd w:val="clear" w:color="auto" w:fill="D7E8F5"/>
          </w:tcPr>
          <w:p>
            <w:pPr>
              <w:spacing w:after="0"/>
              <w:rPr>
                <w:sz w:val="16"/>
                <w:szCs w:val="16"/>
                <w:color w:val="auto"/>
              </w:rPr>
            </w:pPr>
          </w:p>
        </w:tc>
        <w:tc>
          <w:tcPr>
            <w:tcW w:w="780" w:type="dxa"/>
            <w:vAlign w:val="bottom"/>
            <w:shd w:val="clear" w:color="auto" w:fill="D7E8F5"/>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2/1/2022</w:t>
            </w:r>
          </w:p>
        </w:tc>
        <w:tc>
          <w:tcPr>
            <w:tcW w:w="180" w:type="dxa"/>
            <w:vAlign w:val="bottom"/>
            <w:shd w:val="clear" w:color="auto" w:fill="D7E8F5"/>
          </w:tcPr>
          <w:p>
            <w:pPr>
              <w:spacing w:after="0"/>
              <w:rPr>
                <w:sz w:val="11"/>
                <w:szCs w:val="11"/>
                <w:color w:val="auto"/>
              </w:rPr>
            </w:pPr>
          </w:p>
        </w:tc>
        <w:tc>
          <w:tcPr>
            <w:tcW w:w="60" w:type="dxa"/>
            <w:vAlign w:val="bottom"/>
            <w:shd w:val="clear" w:color="auto" w:fill="D7E8F5"/>
          </w:tcPr>
          <w:p>
            <w:pPr>
              <w:spacing w:after="0"/>
              <w:rPr>
                <w:sz w:val="11"/>
                <w:szCs w:val="11"/>
                <w:color w:val="auto"/>
              </w:rPr>
            </w:pPr>
          </w:p>
        </w:tc>
        <w:tc>
          <w:tcPr>
            <w:tcW w:w="880" w:type="dxa"/>
            <w:vAlign w:val="bottom"/>
            <w:vMerge w:val="restart"/>
            <w:shd w:val="clear" w:color="auto" w:fill="D7E8F5"/>
          </w:tcPr>
          <w:p>
            <w:pPr>
              <w:jc w:val="right"/>
              <w:ind w:right="117"/>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D7E8F5"/>
          </w:tcPr>
          <w:p>
            <w:pPr>
              <w:jc w:val="right"/>
              <w:spacing w:after="0"/>
              <w:rPr>
                <w:sz w:val="20"/>
                <w:szCs w:val="20"/>
                <w:color w:val="auto"/>
              </w:rPr>
            </w:pPr>
            <w:r>
              <w:rPr>
                <w:rFonts w:ascii="Arial" w:cs="Arial" w:eastAsia="Arial" w:hAnsi="Arial"/>
                <w:sz w:val="13"/>
                <w:szCs w:val="13"/>
                <w:color w:val="auto"/>
              </w:rPr>
              <w:t>5,449</w:t>
            </w:r>
          </w:p>
        </w:tc>
        <w:tc>
          <w:tcPr>
            <w:tcW w:w="840" w:type="dxa"/>
            <w:vAlign w:val="bottom"/>
            <w:gridSpan w:val="2"/>
            <w:vMerge w:val="restart"/>
            <w:shd w:val="clear" w:color="auto" w:fill="D7E8F5"/>
          </w:tcPr>
          <w:p>
            <w:pPr>
              <w:jc w:val="right"/>
              <w:ind w:right="57"/>
              <w:spacing w:after="0"/>
              <w:rPr>
                <w:sz w:val="20"/>
                <w:szCs w:val="20"/>
                <w:color w:val="auto"/>
              </w:rPr>
            </w:pPr>
            <w:r>
              <w:rPr>
                <w:rFonts w:ascii="Arial" w:cs="Arial" w:eastAsia="Arial" w:hAnsi="Arial"/>
                <w:sz w:val="13"/>
                <w:szCs w:val="13"/>
                <w:color w:val="auto"/>
              </w:rPr>
              <w:t>190.01</w:t>
            </w:r>
          </w:p>
        </w:tc>
        <w:tc>
          <w:tcPr>
            <w:tcW w:w="900" w:type="dxa"/>
            <w:vAlign w:val="bottom"/>
            <w:vMerge w:val="restart"/>
            <w:shd w:val="clear" w:color="auto" w:fill="D7E8F5"/>
          </w:tcPr>
          <w:p>
            <w:pPr>
              <w:jc w:val="right"/>
              <w:ind w:right="57"/>
              <w:spacing w:after="0"/>
              <w:rPr>
                <w:sz w:val="20"/>
                <w:szCs w:val="20"/>
                <w:color w:val="auto"/>
              </w:rPr>
            </w:pPr>
            <w:r>
              <w:rPr>
                <w:rFonts w:ascii="Arial" w:cs="Arial" w:eastAsia="Arial" w:hAnsi="Arial"/>
                <w:sz w:val="13"/>
                <w:szCs w:val="13"/>
                <w:color w:val="auto"/>
              </w:rPr>
              <w:t>2/26/2033</w:t>
            </w:r>
          </w:p>
        </w:tc>
        <w:tc>
          <w:tcPr>
            <w:tcW w:w="1080" w:type="dxa"/>
            <w:vAlign w:val="bottom"/>
            <w:vMerge w:val="continue"/>
            <w:shd w:val="clear" w:color="auto" w:fill="D7E8F5"/>
          </w:tcPr>
          <w:p>
            <w:pPr>
              <w:spacing w:after="0"/>
              <w:rPr>
                <w:sz w:val="11"/>
                <w:szCs w:val="11"/>
                <w:color w:val="auto"/>
              </w:rPr>
            </w:pPr>
          </w:p>
        </w:tc>
        <w:tc>
          <w:tcPr>
            <w:tcW w:w="880" w:type="dxa"/>
            <w:vAlign w:val="bottom"/>
            <w:vMerge w:val="continue"/>
            <w:shd w:val="clear" w:color="auto" w:fill="D7E8F5"/>
          </w:tcPr>
          <w:p>
            <w:pPr>
              <w:spacing w:after="0"/>
              <w:rPr>
                <w:sz w:val="11"/>
                <w:szCs w:val="11"/>
                <w:color w:val="auto"/>
              </w:rPr>
            </w:pPr>
          </w:p>
        </w:tc>
        <w:tc>
          <w:tcPr>
            <w:tcW w:w="1000" w:type="dxa"/>
            <w:vAlign w:val="bottom"/>
            <w:shd w:val="clear" w:color="auto" w:fill="D7E8F5"/>
          </w:tcPr>
          <w:p>
            <w:pPr>
              <w:spacing w:after="0"/>
              <w:rPr>
                <w:sz w:val="11"/>
                <w:szCs w:val="11"/>
                <w:color w:val="auto"/>
              </w:rPr>
            </w:pPr>
          </w:p>
        </w:tc>
        <w:tc>
          <w:tcPr>
            <w:tcW w:w="780" w:type="dxa"/>
            <w:vAlign w:val="bottom"/>
            <w:shd w:val="clear" w:color="auto" w:fill="D7E8F5"/>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60" w:type="dxa"/>
            <w:vAlign w:val="bottom"/>
            <w:shd w:val="clear" w:color="auto" w:fill="D7E8F5"/>
          </w:tcPr>
          <w:p>
            <w:pPr>
              <w:spacing w:after="0"/>
              <w:rPr>
                <w:sz w:val="10"/>
                <w:szCs w:val="10"/>
                <w:color w:val="auto"/>
              </w:rPr>
            </w:pPr>
          </w:p>
        </w:tc>
        <w:tc>
          <w:tcPr>
            <w:tcW w:w="160" w:type="dxa"/>
            <w:vAlign w:val="bottom"/>
            <w:shd w:val="clear" w:color="auto" w:fill="D7E8F5"/>
          </w:tcPr>
          <w:p>
            <w:pPr>
              <w:spacing w:after="0"/>
              <w:rPr>
                <w:sz w:val="10"/>
                <w:szCs w:val="10"/>
                <w:color w:val="auto"/>
              </w:rPr>
            </w:pPr>
          </w:p>
        </w:tc>
        <w:tc>
          <w:tcPr>
            <w:tcW w:w="720" w:type="dxa"/>
            <w:vAlign w:val="bottom"/>
            <w:shd w:val="clear" w:color="auto" w:fill="D7E8F5"/>
          </w:tcPr>
          <w:p>
            <w:pPr>
              <w:jc w:val="right"/>
              <w:spacing w:after="0" w:line="117" w:lineRule="exact"/>
              <w:rPr>
                <w:sz w:val="20"/>
                <w:szCs w:val="20"/>
                <w:color w:val="auto"/>
              </w:rPr>
            </w:pPr>
            <w:r>
              <w:rPr>
                <w:rFonts w:ascii="Arial" w:cs="Arial" w:eastAsia="Arial" w:hAnsi="Arial"/>
                <w:sz w:val="13"/>
                <w:szCs w:val="13"/>
                <w:color w:val="auto"/>
              </w:rPr>
              <w:t>2/27/2023</w:t>
            </w:r>
          </w:p>
        </w:tc>
        <w:tc>
          <w:tcPr>
            <w:tcW w:w="180" w:type="dxa"/>
            <w:vAlign w:val="bottom"/>
            <w:shd w:val="clear" w:color="auto" w:fill="D7E8F5"/>
          </w:tcPr>
          <w:p>
            <w:pPr>
              <w:spacing w:after="0"/>
              <w:rPr>
                <w:sz w:val="10"/>
                <w:szCs w:val="10"/>
                <w:color w:val="auto"/>
              </w:rPr>
            </w:pPr>
          </w:p>
        </w:tc>
        <w:tc>
          <w:tcPr>
            <w:tcW w:w="60" w:type="dxa"/>
            <w:vAlign w:val="bottom"/>
            <w:shd w:val="clear" w:color="auto" w:fill="D7E8F5"/>
          </w:tcPr>
          <w:p>
            <w:pPr>
              <w:spacing w:after="0"/>
              <w:rPr>
                <w:sz w:val="10"/>
                <w:szCs w:val="10"/>
                <w:color w:val="auto"/>
              </w:rPr>
            </w:pPr>
          </w:p>
        </w:tc>
        <w:tc>
          <w:tcPr>
            <w:tcW w:w="880" w:type="dxa"/>
            <w:vAlign w:val="bottom"/>
            <w:vMerge w:val="continue"/>
            <w:shd w:val="clear" w:color="auto" w:fill="D7E8F5"/>
          </w:tcPr>
          <w:p>
            <w:pPr>
              <w:spacing w:after="0"/>
              <w:rPr>
                <w:sz w:val="10"/>
                <w:szCs w:val="10"/>
                <w:color w:val="auto"/>
              </w:rPr>
            </w:pPr>
          </w:p>
        </w:tc>
        <w:tc>
          <w:tcPr>
            <w:tcW w:w="1080" w:type="dxa"/>
            <w:vAlign w:val="bottom"/>
            <w:gridSpan w:val="2"/>
            <w:vMerge w:val="continue"/>
            <w:shd w:val="clear" w:color="auto" w:fill="D7E8F5"/>
          </w:tcPr>
          <w:p>
            <w:pPr>
              <w:spacing w:after="0"/>
              <w:rPr>
                <w:sz w:val="10"/>
                <w:szCs w:val="10"/>
                <w:color w:val="auto"/>
              </w:rPr>
            </w:pPr>
          </w:p>
        </w:tc>
        <w:tc>
          <w:tcPr>
            <w:tcW w:w="840" w:type="dxa"/>
            <w:vAlign w:val="bottom"/>
            <w:gridSpan w:val="2"/>
            <w:vMerge w:val="continue"/>
            <w:shd w:val="clear" w:color="auto" w:fill="D7E8F5"/>
          </w:tcPr>
          <w:p>
            <w:pPr>
              <w:spacing w:after="0"/>
              <w:rPr>
                <w:sz w:val="10"/>
                <w:szCs w:val="10"/>
                <w:color w:val="auto"/>
              </w:rPr>
            </w:pPr>
          </w:p>
        </w:tc>
        <w:tc>
          <w:tcPr>
            <w:tcW w:w="900" w:type="dxa"/>
            <w:vAlign w:val="bottom"/>
            <w:vMerge w:val="continue"/>
            <w:shd w:val="clear" w:color="auto" w:fill="D7E8F5"/>
          </w:tcPr>
          <w:p>
            <w:pPr>
              <w:spacing w:after="0"/>
              <w:rPr>
                <w:sz w:val="10"/>
                <w:szCs w:val="10"/>
                <w:color w:val="auto"/>
              </w:rPr>
            </w:pPr>
          </w:p>
        </w:tc>
        <w:tc>
          <w:tcPr>
            <w:tcW w:w="1080" w:type="dxa"/>
            <w:vAlign w:val="bottom"/>
            <w:shd w:val="clear" w:color="auto" w:fill="D7E8F5"/>
          </w:tcPr>
          <w:p>
            <w:pPr>
              <w:spacing w:after="0"/>
              <w:rPr>
                <w:sz w:val="10"/>
                <w:szCs w:val="10"/>
                <w:color w:val="auto"/>
              </w:rPr>
            </w:pPr>
          </w:p>
        </w:tc>
        <w:tc>
          <w:tcPr>
            <w:tcW w:w="880" w:type="dxa"/>
            <w:vAlign w:val="bottom"/>
            <w:shd w:val="clear" w:color="auto" w:fill="D7E8F5"/>
          </w:tcPr>
          <w:p>
            <w:pPr>
              <w:spacing w:after="0"/>
              <w:rPr>
                <w:sz w:val="10"/>
                <w:szCs w:val="10"/>
                <w:color w:val="auto"/>
              </w:rPr>
            </w:pPr>
          </w:p>
        </w:tc>
        <w:tc>
          <w:tcPr>
            <w:tcW w:w="1000" w:type="dxa"/>
            <w:vAlign w:val="bottom"/>
            <w:shd w:val="clear" w:color="auto" w:fill="D7E8F5"/>
          </w:tcPr>
          <w:p>
            <w:pPr>
              <w:spacing w:after="0"/>
              <w:rPr>
                <w:sz w:val="10"/>
                <w:szCs w:val="10"/>
                <w:color w:val="auto"/>
              </w:rPr>
            </w:pPr>
          </w:p>
        </w:tc>
        <w:tc>
          <w:tcPr>
            <w:tcW w:w="780" w:type="dxa"/>
            <w:vAlign w:val="bottom"/>
            <w:shd w:val="clear" w:color="auto" w:fill="D7E8F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7E8F5"/>
          </w:tcPr>
          <w:p>
            <w:pPr>
              <w:spacing w:after="0"/>
              <w:rPr>
                <w:sz w:val="11"/>
                <w:szCs w:val="11"/>
                <w:color w:val="auto"/>
              </w:rPr>
            </w:pPr>
          </w:p>
        </w:tc>
        <w:tc>
          <w:tcPr>
            <w:tcW w:w="160" w:type="dxa"/>
            <w:vAlign w:val="bottom"/>
            <w:shd w:val="clear" w:color="auto" w:fill="D7E8F5"/>
          </w:tcPr>
          <w:p>
            <w:pPr>
              <w:spacing w:after="0"/>
              <w:rPr>
                <w:sz w:val="11"/>
                <w:szCs w:val="11"/>
                <w:color w:val="auto"/>
              </w:rPr>
            </w:pPr>
          </w:p>
        </w:tc>
        <w:tc>
          <w:tcPr>
            <w:tcW w:w="720" w:type="dxa"/>
            <w:vAlign w:val="bottom"/>
            <w:shd w:val="clear" w:color="auto" w:fill="D7E8F5"/>
          </w:tcPr>
          <w:p>
            <w:pPr>
              <w:jc w:val="right"/>
              <w:spacing w:after="0" w:line="135" w:lineRule="exact"/>
              <w:rPr>
                <w:sz w:val="20"/>
                <w:szCs w:val="20"/>
                <w:color w:val="auto"/>
              </w:rPr>
            </w:pPr>
            <w:r>
              <w:rPr>
                <w:rFonts w:ascii="Arial" w:cs="Arial" w:eastAsia="Arial" w:hAnsi="Arial"/>
                <w:sz w:val="13"/>
                <w:szCs w:val="13"/>
                <w:color w:val="auto"/>
              </w:rPr>
              <w:t>2/27/2023</w:t>
            </w:r>
          </w:p>
        </w:tc>
        <w:tc>
          <w:tcPr>
            <w:tcW w:w="180" w:type="dxa"/>
            <w:vAlign w:val="bottom"/>
            <w:shd w:val="clear" w:color="auto" w:fill="D7E8F5"/>
          </w:tcPr>
          <w:p>
            <w:pPr>
              <w:spacing w:after="0"/>
              <w:rPr>
                <w:sz w:val="11"/>
                <w:szCs w:val="11"/>
                <w:color w:val="auto"/>
              </w:rPr>
            </w:pPr>
          </w:p>
        </w:tc>
        <w:tc>
          <w:tcPr>
            <w:tcW w:w="6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260" w:type="dxa"/>
            <w:vAlign w:val="bottom"/>
            <w:shd w:val="clear" w:color="auto" w:fill="D7E8F5"/>
          </w:tcPr>
          <w:p>
            <w:pPr>
              <w:spacing w:after="0"/>
              <w:rPr>
                <w:sz w:val="11"/>
                <w:szCs w:val="11"/>
                <w:color w:val="auto"/>
              </w:rPr>
            </w:pPr>
          </w:p>
        </w:tc>
        <w:tc>
          <w:tcPr>
            <w:tcW w:w="820" w:type="dxa"/>
            <w:vAlign w:val="bottom"/>
            <w:shd w:val="clear" w:color="auto" w:fill="D7E8F5"/>
          </w:tcPr>
          <w:p>
            <w:pPr>
              <w:spacing w:after="0"/>
              <w:rPr>
                <w:sz w:val="11"/>
                <w:szCs w:val="11"/>
                <w:color w:val="auto"/>
              </w:rPr>
            </w:pPr>
          </w:p>
        </w:tc>
        <w:tc>
          <w:tcPr>
            <w:tcW w:w="200" w:type="dxa"/>
            <w:vAlign w:val="bottom"/>
            <w:shd w:val="clear" w:color="auto" w:fill="D7E8F5"/>
          </w:tcPr>
          <w:p>
            <w:pPr>
              <w:spacing w:after="0"/>
              <w:rPr>
                <w:sz w:val="11"/>
                <w:szCs w:val="11"/>
                <w:color w:val="auto"/>
              </w:rPr>
            </w:pPr>
          </w:p>
        </w:tc>
        <w:tc>
          <w:tcPr>
            <w:tcW w:w="640" w:type="dxa"/>
            <w:vAlign w:val="bottom"/>
            <w:shd w:val="clear" w:color="auto" w:fill="D7E8F5"/>
          </w:tcPr>
          <w:p>
            <w:pPr>
              <w:spacing w:after="0"/>
              <w:rPr>
                <w:sz w:val="11"/>
                <w:szCs w:val="11"/>
                <w:color w:val="auto"/>
              </w:rPr>
            </w:pPr>
          </w:p>
        </w:tc>
        <w:tc>
          <w:tcPr>
            <w:tcW w:w="900" w:type="dxa"/>
            <w:vAlign w:val="bottom"/>
            <w:shd w:val="clear" w:color="auto" w:fill="D7E8F5"/>
          </w:tcPr>
          <w:p>
            <w:pPr>
              <w:spacing w:after="0"/>
              <w:rPr>
                <w:sz w:val="11"/>
                <w:szCs w:val="11"/>
                <w:color w:val="auto"/>
              </w:rPr>
            </w:pPr>
          </w:p>
        </w:tc>
        <w:tc>
          <w:tcPr>
            <w:tcW w:w="1080" w:type="dxa"/>
            <w:vAlign w:val="bottom"/>
            <w:shd w:val="clear" w:color="auto" w:fill="D7E8F5"/>
          </w:tcPr>
          <w:p>
            <w:pPr>
              <w:spacing w:after="0"/>
              <w:rPr>
                <w:sz w:val="11"/>
                <w:szCs w:val="11"/>
                <w:color w:val="auto"/>
              </w:rPr>
            </w:pPr>
          </w:p>
        </w:tc>
        <w:tc>
          <w:tcPr>
            <w:tcW w:w="880" w:type="dxa"/>
            <w:vAlign w:val="bottom"/>
            <w:shd w:val="clear" w:color="auto" w:fill="D7E8F5"/>
          </w:tcPr>
          <w:p>
            <w:pPr>
              <w:spacing w:after="0"/>
              <w:rPr>
                <w:sz w:val="11"/>
                <w:szCs w:val="11"/>
                <w:color w:val="auto"/>
              </w:rPr>
            </w:pPr>
          </w:p>
        </w:tc>
        <w:tc>
          <w:tcPr>
            <w:tcW w:w="1000" w:type="dxa"/>
            <w:vAlign w:val="bottom"/>
            <w:shd w:val="clear" w:color="auto" w:fill="D7E8F5"/>
          </w:tcPr>
          <w:p>
            <w:pPr>
              <w:jc w:val="right"/>
              <w:ind w:right="17"/>
              <w:spacing w:after="0" w:line="135" w:lineRule="exact"/>
              <w:rPr>
                <w:sz w:val="20"/>
                <w:szCs w:val="20"/>
                <w:color w:val="auto"/>
              </w:rPr>
            </w:pPr>
            <w:r>
              <w:rPr>
                <w:rFonts w:ascii="Arial" w:cs="Arial" w:eastAsia="Arial" w:hAnsi="Arial"/>
                <w:sz w:val="13"/>
                <w:szCs w:val="13"/>
                <w:color w:val="auto"/>
              </w:rPr>
              <w:t>5,263(10)</w:t>
            </w:r>
          </w:p>
        </w:tc>
        <w:tc>
          <w:tcPr>
            <w:tcW w:w="780" w:type="dxa"/>
            <w:vAlign w:val="bottom"/>
            <w:shd w:val="clear" w:color="auto" w:fill="D7E8F5"/>
          </w:tcPr>
          <w:p>
            <w:pPr>
              <w:jc w:val="right"/>
              <w:ind w:right="37"/>
              <w:spacing w:after="0" w:line="135" w:lineRule="exact"/>
              <w:rPr>
                <w:sz w:val="20"/>
                <w:szCs w:val="20"/>
                <w:color w:val="auto"/>
              </w:rPr>
            </w:pPr>
            <w:r>
              <w:rPr>
                <w:rFonts w:ascii="Arial" w:cs="Arial" w:eastAsia="Arial" w:hAnsi="Arial"/>
                <w:sz w:val="13"/>
                <w:szCs w:val="13"/>
                <w:color w:val="auto"/>
              </w:rPr>
              <w:t>1,007,391</w:t>
            </w:r>
          </w:p>
        </w:tc>
        <w:tc>
          <w:tcPr>
            <w:tcW w:w="0" w:type="dxa"/>
            <w:vAlign w:val="bottom"/>
          </w:tcPr>
          <w:p>
            <w:pPr>
              <w:spacing w:after="0"/>
              <w:rPr>
                <w:sz w:val="1"/>
                <w:szCs w:val="1"/>
                <w:color w:val="auto"/>
              </w:rPr>
            </w:pPr>
          </w:p>
        </w:tc>
      </w:tr>
      <w:tr>
        <w:trPr>
          <w:trHeight w:val="200"/>
        </w:trPr>
        <w:tc>
          <w:tcPr>
            <w:tcW w:w="2460" w:type="dxa"/>
            <w:vAlign w:val="bottom"/>
            <w:tcBorders>
              <w:bottom w:val="single" w:sz="8" w:color="D7E8F5"/>
            </w:tcBorders>
            <w:shd w:val="clear" w:color="auto" w:fill="D7E8F5"/>
          </w:tcPr>
          <w:p>
            <w:pPr>
              <w:spacing w:after="0"/>
              <w:rPr>
                <w:sz w:val="17"/>
                <w:szCs w:val="17"/>
                <w:color w:val="auto"/>
              </w:rPr>
            </w:pPr>
          </w:p>
        </w:tc>
        <w:tc>
          <w:tcPr>
            <w:tcW w:w="160" w:type="dxa"/>
            <w:vAlign w:val="bottom"/>
            <w:tcBorders>
              <w:bottom w:val="single" w:sz="8" w:color="D7E8F5"/>
            </w:tcBorders>
            <w:shd w:val="clear" w:color="auto" w:fill="D7E8F5"/>
          </w:tcPr>
          <w:p>
            <w:pPr>
              <w:spacing w:after="0"/>
              <w:rPr>
                <w:sz w:val="17"/>
                <w:szCs w:val="17"/>
                <w:color w:val="auto"/>
              </w:rPr>
            </w:pPr>
          </w:p>
        </w:tc>
        <w:tc>
          <w:tcPr>
            <w:tcW w:w="72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3"/>
                <w:szCs w:val="13"/>
                <w:color w:val="auto"/>
              </w:rPr>
              <w:t>2/27/2023</w:t>
            </w:r>
          </w:p>
        </w:tc>
        <w:tc>
          <w:tcPr>
            <w:tcW w:w="180" w:type="dxa"/>
            <w:vAlign w:val="bottom"/>
            <w:tcBorders>
              <w:bottom w:val="single" w:sz="8" w:color="D7E8F5"/>
            </w:tcBorders>
            <w:shd w:val="clear" w:color="auto" w:fill="D7E8F5"/>
          </w:tcPr>
          <w:p>
            <w:pPr>
              <w:spacing w:after="0"/>
              <w:rPr>
                <w:sz w:val="17"/>
                <w:szCs w:val="17"/>
                <w:color w:val="auto"/>
              </w:rPr>
            </w:pPr>
          </w:p>
        </w:tc>
        <w:tc>
          <w:tcPr>
            <w:tcW w:w="60" w:type="dxa"/>
            <w:vAlign w:val="bottom"/>
            <w:tcBorders>
              <w:bottom w:val="single" w:sz="8" w:color="D7E8F5"/>
            </w:tcBorders>
            <w:shd w:val="clear" w:color="auto" w:fill="D7E8F5"/>
          </w:tcPr>
          <w:p>
            <w:pPr>
              <w:spacing w:after="0"/>
              <w:rPr>
                <w:sz w:val="17"/>
                <w:szCs w:val="17"/>
                <w:color w:val="auto"/>
              </w:rPr>
            </w:pPr>
          </w:p>
        </w:tc>
        <w:tc>
          <w:tcPr>
            <w:tcW w:w="880" w:type="dxa"/>
            <w:vAlign w:val="bottom"/>
            <w:tcBorders>
              <w:bottom w:val="single" w:sz="8" w:color="D7E8F5"/>
            </w:tcBorders>
            <w:shd w:val="clear" w:color="auto" w:fill="D7E8F5"/>
          </w:tcPr>
          <w:p>
            <w:pPr>
              <w:spacing w:after="0"/>
              <w:rPr>
                <w:sz w:val="17"/>
                <w:szCs w:val="17"/>
                <w:color w:val="auto"/>
              </w:rPr>
            </w:pPr>
          </w:p>
        </w:tc>
        <w:tc>
          <w:tcPr>
            <w:tcW w:w="260" w:type="dxa"/>
            <w:vAlign w:val="bottom"/>
            <w:tcBorders>
              <w:bottom w:val="single" w:sz="8" w:color="D7E8F5"/>
            </w:tcBorders>
            <w:shd w:val="clear" w:color="auto" w:fill="D7E8F5"/>
          </w:tcPr>
          <w:p>
            <w:pPr>
              <w:spacing w:after="0"/>
              <w:rPr>
                <w:sz w:val="17"/>
                <w:szCs w:val="17"/>
                <w:color w:val="auto"/>
              </w:rPr>
            </w:pPr>
          </w:p>
        </w:tc>
        <w:tc>
          <w:tcPr>
            <w:tcW w:w="820" w:type="dxa"/>
            <w:vAlign w:val="bottom"/>
            <w:tcBorders>
              <w:bottom w:val="single" w:sz="8" w:color="D7E8F5"/>
            </w:tcBorders>
            <w:shd w:val="clear" w:color="auto" w:fill="D7E8F5"/>
          </w:tcPr>
          <w:p>
            <w:pPr>
              <w:spacing w:after="0"/>
              <w:rPr>
                <w:sz w:val="17"/>
                <w:szCs w:val="17"/>
                <w:color w:val="auto"/>
              </w:rPr>
            </w:pPr>
          </w:p>
        </w:tc>
        <w:tc>
          <w:tcPr>
            <w:tcW w:w="200" w:type="dxa"/>
            <w:vAlign w:val="bottom"/>
            <w:tcBorders>
              <w:bottom w:val="single" w:sz="8" w:color="D7E8F5"/>
            </w:tcBorders>
            <w:shd w:val="clear" w:color="auto" w:fill="D7E8F5"/>
          </w:tcPr>
          <w:p>
            <w:pPr>
              <w:spacing w:after="0"/>
              <w:rPr>
                <w:sz w:val="17"/>
                <w:szCs w:val="17"/>
                <w:color w:val="auto"/>
              </w:rPr>
            </w:pPr>
          </w:p>
        </w:tc>
        <w:tc>
          <w:tcPr>
            <w:tcW w:w="640" w:type="dxa"/>
            <w:vAlign w:val="bottom"/>
            <w:tcBorders>
              <w:bottom w:val="single" w:sz="8" w:color="D7E8F5"/>
            </w:tcBorders>
            <w:shd w:val="clear" w:color="auto" w:fill="D7E8F5"/>
          </w:tcPr>
          <w:p>
            <w:pPr>
              <w:spacing w:after="0"/>
              <w:rPr>
                <w:sz w:val="17"/>
                <w:szCs w:val="17"/>
                <w:color w:val="auto"/>
              </w:rPr>
            </w:pPr>
          </w:p>
        </w:tc>
        <w:tc>
          <w:tcPr>
            <w:tcW w:w="900" w:type="dxa"/>
            <w:vAlign w:val="bottom"/>
            <w:tcBorders>
              <w:bottom w:val="single" w:sz="8" w:color="D7E8F5"/>
            </w:tcBorders>
            <w:shd w:val="clear" w:color="auto" w:fill="D7E8F5"/>
          </w:tcPr>
          <w:p>
            <w:pPr>
              <w:spacing w:after="0"/>
              <w:rPr>
                <w:sz w:val="17"/>
                <w:szCs w:val="17"/>
                <w:color w:val="auto"/>
              </w:rPr>
            </w:pPr>
          </w:p>
        </w:tc>
        <w:tc>
          <w:tcPr>
            <w:tcW w:w="1080" w:type="dxa"/>
            <w:vAlign w:val="bottom"/>
            <w:tcBorders>
              <w:bottom w:val="single" w:sz="8" w:color="D7E8F5"/>
            </w:tcBorders>
            <w:shd w:val="clear" w:color="auto" w:fill="D7E8F5"/>
          </w:tcPr>
          <w:p>
            <w:pPr>
              <w:jc w:val="right"/>
              <w:ind w:right="57"/>
              <w:spacing w:after="0"/>
              <w:rPr>
                <w:sz w:val="20"/>
                <w:szCs w:val="20"/>
                <w:color w:val="auto"/>
              </w:rPr>
            </w:pPr>
            <w:r>
              <w:rPr>
                <w:rFonts w:ascii="Arial" w:cs="Arial" w:eastAsia="Arial" w:hAnsi="Arial"/>
                <w:sz w:val="13"/>
                <w:szCs w:val="13"/>
                <w:color w:val="auto"/>
              </w:rPr>
              <w:t>2,632(11)</w:t>
            </w:r>
          </w:p>
        </w:tc>
        <w:tc>
          <w:tcPr>
            <w:tcW w:w="880" w:type="dxa"/>
            <w:vAlign w:val="bottom"/>
            <w:tcBorders>
              <w:bottom w:val="single" w:sz="8" w:color="D7E8F5"/>
            </w:tcBorders>
            <w:shd w:val="clear" w:color="auto" w:fill="D7E8F5"/>
          </w:tcPr>
          <w:p>
            <w:pPr>
              <w:jc w:val="right"/>
              <w:ind w:right="57"/>
              <w:spacing w:after="0"/>
              <w:rPr>
                <w:sz w:val="20"/>
                <w:szCs w:val="20"/>
                <w:color w:val="auto"/>
              </w:rPr>
            </w:pPr>
            <w:r>
              <w:rPr>
                <w:rFonts w:ascii="Arial" w:cs="Arial" w:eastAsia="Arial" w:hAnsi="Arial"/>
                <w:sz w:val="13"/>
                <w:szCs w:val="13"/>
                <w:color w:val="auto"/>
              </w:rPr>
              <w:t>503,791</w:t>
            </w:r>
          </w:p>
        </w:tc>
        <w:tc>
          <w:tcPr>
            <w:tcW w:w="1000" w:type="dxa"/>
            <w:vAlign w:val="bottom"/>
            <w:tcBorders>
              <w:bottom w:val="single" w:sz="8" w:color="D7E8F5"/>
            </w:tcBorders>
            <w:shd w:val="clear" w:color="auto" w:fill="D7E8F5"/>
          </w:tcPr>
          <w:p>
            <w:pPr>
              <w:spacing w:after="0"/>
              <w:rPr>
                <w:sz w:val="17"/>
                <w:szCs w:val="17"/>
                <w:color w:val="auto"/>
              </w:rPr>
            </w:pPr>
          </w:p>
        </w:tc>
        <w:tc>
          <w:tcPr>
            <w:tcW w:w="780" w:type="dxa"/>
            <w:vAlign w:val="bottom"/>
            <w:tcBorders>
              <w:bottom w:val="single" w:sz="8" w:color="D7E8F5"/>
            </w:tcBorders>
            <w:shd w:val="clear" w:color="auto" w:fill="D7E8F5"/>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80"/>
              <w:spacing w:after="0"/>
              <w:rPr>
                <w:sz w:val="20"/>
                <w:szCs w:val="20"/>
                <w:color w:val="auto"/>
              </w:rPr>
            </w:pPr>
            <w:r>
              <w:rPr>
                <w:rFonts w:ascii="Arial" w:cs="Arial" w:eastAsia="Arial" w:hAnsi="Arial"/>
                <w:sz w:val="13"/>
                <w:szCs w:val="13"/>
                <w:color w:val="auto"/>
              </w:rPr>
              <w:t>Akshay K. Vaishnaw, M.D., Ph.D. (14)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5/1/2015</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35,125(5)</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96.45</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12/17/2024</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5/1/2015</w:t>
            </w:r>
          </w:p>
        </w:tc>
        <w:tc>
          <w:tcPr>
            <w:tcW w:w="11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35,125(6)</w:t>
            </w:r>
          </w:p>
        </w:tc>
        <w:tc>
          <w:tcPr>
            <w:tcW w:w="2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96.45</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12/17/2024</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12/18/2015</w:t>
            </w:r>
          </w:p>
        </w:tc>
        <w:tc>
          <w:tcPr>
            <w:tcW w:w="1120" w:type="dxa"/>
            <w:vAlign w:val="bottom"/>
            <w:gridSpan w:val="3"/>
          </w:tcPr>
          <w:p>
            <w:pPr>
              <w:jc w:val="right"/>
              <w:ind w:right="117"/>
              <w:spacing w:after="0" w:line="135" w:lineRule="exact"/>
              <w:rPr>
                <w:sz w:val="20"/>
                <w:szCs w:val="20"/>
                <w:color w:val="auto"/>
              </w:rPr>
            </w:pPr>
            <w:r>
              <w:rPr>
                <w:rFonts w:ascii="Arial" w:cs="Arial" w:eastAsia="Arial" w:hAnsi="Arial"/>
                <w:sz w:val="13"/>
                <w:szCs w:val="13"/>
                <w:color w:val="auto"/>
              </w:rPr>
              <w:t>28,876</w:t>
            </w:r>
          </w:p>
        </w:tc>
        <w:tc>
          <w:tcPr>
            <w:tcW w:w="2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88.95</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12/18/2025</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12/18/2015</w:t>
            </w:r>
          </w:p>
        </w:tc>
        <w:tc>
          <w:tcPr>
            <w:tcW w:w="11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30,000(4)</w:t>
            </w:r>
          </w:p>
        </w:tc>
        <w:tc>
          <w:tcPr>
            <w:tcW w:w="2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88.95</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12/18/2025</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2/23/2016</w:t>
            </w:r>
          </w:p>
        </w:tc>
        <w:tc>
          <w:tcPr>
            <w:tcW w:w="11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10,000(7)</w:t>
            </w:r>
          </w:p>
        </w:tc>
        <w:tc>
          <w:tcPr>
            <w:tcW w:w="2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94.14</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2/23/2026</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3/1/2018</w:t>
            </w:r>
          </w:p>
        </w:tc>
        <w:tc>
          <w:tcPr>
            <w:tcW w:w="1120" w:type="dxa"/>
            <w:vAlign w:val="bottom"/>
            <w:gridSpan w:val="3"/>
          </w:tcPr>
          <w:p>
            <w:pPr>
              <w:jc w:val="right"/>
              <w:ind w:right="117"/>
              <w:spacing w:after="0" w:line="135" w:lineRule="exact"/>
              <w:rPr>
                <w:sz w:val="20"/>
                <w:szCs w:val="20"/>
                <w:color w:val="auto"/>
              </w:rPr>
            </w:pPr>
            <w:r>
              <w:rPr>
                <w:rFonts w:ascii="Arial" w:cs="Arial" w:eastAsia="Arial" w:hAnsi="Arial"/>
                <w:sz w:val="13"/>
                <w:szCs w:val="13"/>
                <w:color w:val="auto"/>
              </w:rPr>
              <w:t>25,000</w:t>
            </w:r>
          </w:p>
        </w:tc>
        <w:tc>
          <w:tcPr>
            <w:tcW w:w="2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119.13</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3/1/2028</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3/1/2018</w:t>
            </w:r>
          </w:p>
        </w:tc>
        <w:tc>
          <w:tcPr>
            <w:tcW w:w="11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25,000(3)</w:t>
            </w:r>
          </w:p>
        </w:tc>
        <w:tc>
          <w:tcPr>
            <w:tcW w:w="2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119.13</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3/1/2028</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2/28/2019</w:t>
            </w:r>
          </w:p>
        </w:tc>
        <w:tc>
          <w:tcPr>
            <w:tcW w:w="1120" w:type="dxa"/>
            <w:vAlign w:val="bottom"/>
            <w:gridSpan w:val="3"/>
          </w:tcPr>
          <w:p>
            <w:pPr>
              <w:jc w:val="right"/>
              <w:ind w:right="117"/>
              <w:spacing w:after="0" w:line="135" w:lineRule="exact"/>
              <w:rPr>
                <w:sz w:val="20"/>
                <w:szCs w:val="20"/>
                <w:color w:val="auto"/>
              </w:rPr>
            </w:pPr>
            <w:r>
              <w:rPr>
                <w:rFonts w:ascii="Arial" w:cs="Arial" w:eastAsia="Arial" w:hAnsi="Arial"/>
                <w:sz w:val="13"/>
                <w:szCs w:val="13"/>
                <w:color w:val="auto"/>
              </w:rPr>
              <w:t>32,500</w:t>
            </w:r>
          </w:p>
        </w:tc>
        <w:tc>
          <w:tcPr>
            <w:tcW w:w="2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85.00</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2/28/2029</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2/26/2020</w:t>
            </w:r>
          </w:p>
        </w:tc>
        <w:tc>
          <w:tcPr>
            <w:tcW w:w="1120" w:type="dxa"/>
            <w:vAlign w:val="bottom"/>
            <w:gridSpan w:val="3"/>
          </w:tcPr>
          <w:p>
            <w:pPr>
              <w:jc w:val="right"/>
              <w:ind w:right="117"/>
              <w:spacing w:after="0" w:line="135" w:lineRule="exact"/>
              <w:rPr>
                <w:sz w:val="20"/>
                <w:szCs w:val="20"/>
                <w:color w:val="auto"/>
              </w:rPr>
            </w:pPr>
            <w:r>
              <w:rPr>
                <w:rFonts w:ascii="Arial" w:cs="Arial" w:eastAsia="Arial" w:hAnsi="Arial"/>
                <w:sz w:val="13"/>
                <w:szCs w:val="13"/>
                <w:color w:val="auto"/>
              </w:rPr>
              <w:t>25,896</w:t>
            </w: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1,727</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118.05</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2/25/2030</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2/24/2021</w:t>
            </w:r>
          </w:p>
        </w:tc>
        <w:tc>
          <w:tcPr>
            <w:tcW w:w="1120" w:type="dxa"/>
            <w:vAlign w:val="bottom"/>
            <w:gridSpan w:val="3"/>
          </w:tcPr>
          <w:p>
            <w:pPr>
              <w:jc w:val="right"/>
              <w:ind w:right="117"/>
              <w:spacing w:after="0" w:line="135" w:lineRule="exact"/>
              <w:rPr>
                <w:sz w:val="20"/>
                <w:szCs w:val="20"/>
                <w:color w:val="auto"/>
              </w:rPr>
            </w:pPr>
            <w:r>
              <w:rPr>
                <w:rFonts w:ascii="Arial" w:cs="Arial" w:eastAsia="Arial" w:hAnsi="Arial"/>
                <w:sz w:val="13"/>
                <w:szCs w:val="13"/>
                <w:color w:val="auto"/>
              </w:rPr>
              <w:t>19,800</w:t>
            </w: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9,000</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151.59</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2/23/2031</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2/24/2021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7,719(8)</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1,477,494</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12/31/2021</w:t>
            </w:r>
          </w:p>
        </w:tc>
        <w:tc>
          <w:tcPr>
            <w:tcW w:w="1120" w:type="dxa"/>
            <w:vAlign w:val="bottom"/>
            <w:gridSpan w:val="3"/>
          </w:tcPr>
          <w:p>
            <w:pPr>
              <w:jc w:val="right"/>
              <w:ind w:right="117"/>
              <w:spacing w:after="0" w:line="135" w:lineRule="exact"/>
              <w:rPr>
                <w:sz w:val="20"/>
                <w:szCs w:val="20"/>
                <w:color w:val="auto"/>
              </w:rPr>
            </w:pPr>
            <w:r>
              <w:rPr>
                <w:rFonts w:ascii="Arial" w:cs="Arial" w:eastAsia="Arial" w:hAnsi="Arial"/>
                <w:sz w:val="13"/>
                <w:szCs w:val="13"/>
                <w:color w:val="auto"/>
              </w:rPr>
              <w:t>11,190</w:t>
            </w: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11,190</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169.58</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12/30/2031</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2/23/2022</w:t>
            </w:r>
          </w:p>
        </w:tc>
        <w:tc>
          <w:tcPr>
            <w:tcW w:w="1120" w:type="dxa"/>
            <w:vAlign w:val="bottom"/>
            <w:gridSpan w:val="3"/>
          </w:tcPr>
          <w:p>
            <w:pPr>
              <w:jc w:val="right"/>
              <w:ind w:right="117"/>
              <w:spacing w:after="0" w:line="135" w:lineRule="exact"/>
              <w:rPr>
                <w:sz w:val="20"/>
                <w:szCs w:val="20"/>
                <w:color w:val="auto"/>
              </w:rPr>
            </w:pPr>
            <w:r>
              <w:rPr>
                <w:rFonts w:ascii="Arial" w:cs="Arial" w:eastAsia="Arial" w:hAnsi="Arial"/>
                <w:sz w:val="13"/>
                <w:szCs w:val="13"/>
                <w:color w:val="auto"/>
              </w:rPr>
              <w:t>13,056</w:t>
            </w: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16,786</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147.47</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2/22/2032</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2/23/2022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10,624(9)</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2,033,540</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2/27/2023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11,986</w:t>
            </w:r>
          </w:p>
        </w:tc>
        <w:tc>
          <w:tcPr>
            <w:tcW w:w="8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190.01</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2/26/2033</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2/27/2023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11,579(10)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2,216,336</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2/27/2023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5,790(11)</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1,108,264</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460" w:type="dxa"/>
            <w:vAlign w:val="bottom"/>
            <w:tcBorders>
              <w:bottom w:val="single" w:sz="8" w:color="1D3060"/>
            </w:tcBorders>
          </w:tcPr>
          <w:p>
            <w:pPr>
              <w:spacing w:after="0"/>
              <w:rPr>
                <w:sz w:val="4"/>
                <w:szCs w:val="4"/>
                <w:color w:val="auto"/>
              </w:rPr>
            </w:pPr>
          </w:p>
        </w:tc>
        <w:tc>
          <w:tcPr>
            <w:tcW w:w="160" w:type="dxa"/>
            <w:vAlign w:val="bottom"/>
            <w:tcBorders>
              <w:bottom w:val="single" w:sz="8" w:color="1D3060"/>
            </w:tcBorders>
          </w:tcPr>
          <w:p>
            <w:pPr>
              <w:spacing w:after="0"/>
              <w:rPr>
                <w:sz w:val="4"/>
                <w:szCs w:val="4"/>
                <w:color w:val="auto"/>
              </w:rPr>
            </w:pPr>
          </w:p>
        </w:tc>
        <w:tc>
          <w:tcPr>
            <w:tcW w:w="720" w:type="dxa"/>
            <w:vAlign w:val="bottom"/>
            <w:tcBorders>
              <w:bottom w:val="single" w:sz="8" w:color="1D3060"/>
            </w:tcBorders>
          </w:tcPr>
          <w:p>
            <w:pPr>
              <w:spacing w:after="0"/>
              <w:rPr>
                <w:sz w:val="4"/>
                <w:szCs w:val="4"/>
                <w:color w:val="auto"/>
              </w:rPr>
            </w:pPr>
          </w:p>
        </w:tc>
        <w:tc>
          <w:tcPr>
            <w:tcW w:w="180" w:type="dxa"/>
            <w:vAlign w:val="bottom"/>
            <w:tcBorders>
              <w:bottom w:val="single" w:sz="8" w:color="1D3060"/>
            </w:tcBorders>
          </w:tcPr>
          <w:p>
            <w:pPr>
              <w:spacing w:after="0"/>
              <w:rPr>
                <w:sz w:val="4"/>
                <w:szCs w:val="4"/>
                <w:color w:val="auto"/>
              </w:rPr>
            </w:pPr>
          </w:p>
        </w:tc>
        <w:tc>
          <w:tcPr>
            <w:tcW w:w="60" w:type="dxa"/>
            <w:vAlign w:val="bottom"/>
            <w:tcBorders>
              <w:bottom w:val="single" w:sz="8" w:color="1D3060"/>
            </w:tcBorders>
          </w:tcPr>
          <w:p>
            <w:pPr>
              <w:spacing w:after="0"/>
              <w:rPr>
                <w:sz w:val="4"/>
                <w:szCs w:val="4"/>
                <w:color w:val="auto"/>
              </w:rPr>
            </w:pPr>
          </w:p>
        </w:tc>
        <w:tc>
          <w:tcPr>
            <w:tcW w:w="880" w:type="dxa"/>
            <w:vAlign w:val="bottom"/>
            <w:tcBorders>
              <w:bottom w:val="single" w:sz="8" w:color="1D3060"/>
            </w:tcBorders>
          </w:tcPr>
          <w:p>
            <w:pPr>
              <w:spacing w:after="0"/>
              <w:rPr>
                <w:sz w:val="4"/>
                <w:szCs w:val="4"/>
                <w:color w:val="auto"/>
              </w:rPr>
            </w:pPr>
          </w:p>
        </w:tc>
        <w:tc>
          <w:tcPr>
            <w:tcW w:w="260" w:type="dxa"/>
            <w:vAlign w:val="bottom"/>
            <w:tcBorders>
              <w:bottom w:val="single" w:sz="8" w:color="1D3060"/>
            </w:tcBorders>
          </w:tcPr>
          <w:p>
            <w:pPr>
              <w:spacing w:after="0"/>
              <w:rPr>
                <w:sz w:val="4"/>
                <w:szCs w:val="4"/>
                <w:color w:val="auto"/>
              </w:rPr>
            </w:pPr>
          </w:p>
        </w:tc>
        <w:tc>
          <w:tcPr>
            <w:tcW w:w="820" w:type="dxa"/>
            <w:vAlign w:val="bottom"/>
            <w:tcBorders>
              <w:bottom w:val="single" w:sz="8" w:color="1D3060"/>
            </w:tcBorders>
          </w:tcPr>
          <w:p>
            <w:pPr>
              <w:spacing w:after="0"/>
              <w:rPr>
                <w:sz w:val="4"/>
                <w:szCs w:val="4"/>
                <w:color w:val="auto"/>
              </w:rPr>
            </w:pPr>
          </w:p>
        </w:tc>
        <w:tc>
          <w:tcPr>
            <w:tcW w:w="200" w:type="dxa"/>
            <w:vAlign w:val="bottom"/>
            <w:tcBorders>
              <w:bottom w:val="single" w:sz="8" w:color="1D3060"/>
            </w:tcBorders>
          </w:tcPr>
          <w:p>
            <w:pPr>
              <w:spacing w:after="0"/>
              <w:rPr>
                <w:sz w:val="4"/>
                <w:szCs w:val="4"/>
                <w:color w:val="auto"/>
              </w:rPr>
            </w:pPr>
          </w:p>
        </w:tc>
        <w:tc>
          <w:tcPr>
            <w:tcW w:w="640" w:type="dxa"/>
            <w:vAlign w:val="bottom"/>
            <w:tcBorders>
              <w:bottom w:val="single" w:sz="8" w:color="1D3060"/>
            </w:tcBorders>
          </w:tcPr>
          <w:p>
            <w:pPr>
              <w:spacing w:after="0"/>
              <w:rPr>
                <w:sz w:val="4"/>
                <w:szCs w:val="4"/>
                <w:color w:val="auto"/>
              </w:rPr>
            </w:pPr>
          </w:p>
        </w:tc>
        <w:tc>
          <w:tcPr>
            <w:tcW w:w="900" w:type="dxa"/>
            <w:vAlign w:val="bottom"/>
            <w:tcBorders>
              <w:bottom w:val="single" w:sz="8" w:color="1D3060"/>
            </w:tcBorders>
          </w:tcPr>
          <w:p>
            <w:pPr>
              <w:spacing w:after="0"/>
              <w:rPr>
                <w:sz w:val="4"/>
                <w:szCs w:val="4"/>
                <w:color w:val="auto"/>
              </w:rPr>
            </w:pPr>
          </w:p>
        </w:tc>
        <w:tc>
          <w:tcPr>
            <w:tcW w:w="1080" w:type="dxa"/>
            <w:vAlign w:val="bottom"/>
            <w:tcBorders>
              <w:bottom w:val="single" w:sz="8" w:color="1D3060"/>
            </w:tcBorders>
          </w:tcPr>
          <w:p>
            <w:pPr>
              <w:spacing w:after="0"/>
              <w:rPr>
                <w:sz w:val="4"/>
                <w:szCs w:val="4"/>
                <w:color w:val="auto"/>
              </w:rPr>
            </w:pPr>
          </w:p>
        </w:tc>
        <w:tc>
          <w:tcPr>
            <w:tcW w:w="880" w:type="dxa"/>
            <w:vAlign w:val="bottom"/>
            <w:tcBorders>
              <w:bottom w:val="single" w:sz="8" w:color="1D3060"/>
            </w:tcBorders>
          </w:tcPr>
          <w:p>
            <w:pPr>
              <w:spacing w:after="0"/>
              <w:rPr>
                <w:sz w:val="4"/>
                <w:szCs w:val="4"/>
                <w:color w:val="auto"/>
              </w:rPr>
            </w:pPr>
          </w:p>
        </w:tc>
        <w:tc>
          <w:tcPr>
            <w:tcW w:w="1000" w:type="dxa"/>
            <w:vAlign w:val="bottom"/>
            <w:tcBorders>
              <w:bottom w:val="single" w:sz="8" w:color="1D3060"/>
            </w:tcBorders>
          </w:tcPr>
          <w:p>
            <w:pPr>
              <w:spacing w:after="0"/>
              <w:rPr>
                <w:sz w:val="4"/>
                <w:szCs w:val="4"/>
                <w:color w:val="auto"/>
              </w:rPr>
            </w:pPr>
          </w:p>
        </w:tc>
        <w:tc>
          <w:tcPr>
            <w:tcW w:w="780" w:type="dxa"/>
            <w:vAlign w:val="bottom"/>
            <w:tcBorders>
              <w:bottom w:val="single" w:sz="8" w:color="1D306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880" w:right="120" w:hanging="332"/>
        <w:spacing w:after="0" w:line="263" w:lineRule="auto"/>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Stock option awards were granted with a ten-year term and vest as to 25% of the shares on the first anniversary of the grant date and as to an additional 6.25% at the end of each successive three-month period thereafter, unless otherwise noted, provided that the NEO continues to be employed with us through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880" w:right="80" w:hanging="332"/>
        <w:spacing w:after="0" w:line="285"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market value of PSUs or RSUs that have not vested is based on the number of unvested PSUs or RSUs outstanding multiplied by $191.41 per share, which was the closing price of our common stock on the Nasdaq Global Select Market on the last trading day of 2023.</w:t>
      </w:r>
    </w:p>
    <w:p>
      <w:pPr>
        <w:spacing w:after="0" w:line="184" w:lineRule="exact"/>
        <w:rPr>
          <w:rFonts w:ascii="Arial" w:cs="Arial" w:eastAsia="Arial" w:hAnsi="Arial"/>
          <w:sz w:val="14"/>
          <w:szCs w:val="14"/>
          <w:color w:val="auto"/>
        </w:rPr>
      </w:pPr>
    </w:p>
    <w:p>
      <w:pPr>
        <w:ind w:left="880" w:hanging="332"/>
        <w:spacing w:after="0"/>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options vested in three equal installments upon the achievement of each of three specific clinical development, regulatory or commercial events.</w:t>
      </w:r>
    </w:p>
    <w:p>
      <w:pPr>
        <w:spacing w:after="0" w:line="244" w:lineRule="exact"/>
        <w:rPr>
          <w:rFonts w:ascii="Arial" w:cs="Arial" w:eastAsia="Arial" w:hAnsi="Arial"/>
          <w:sz w:val="14"/>
          <w:szCs w:val="14"/>
          <w:color w:val="auto"/>
        </w:rPr>
      </w:pPr>
    </w:p>
    <w:p>
      <w:pPr>
        <w:ind w:left="880" w:right="160" w:hanging="332"/>
        <w:spacing w:after="0" w:line="285"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options were granted on December 18, 2015 and vested in four equal installments upon the achievement of each of four specific clinical development or commercial events.</w:t>
      </w:r>
    </w:p>
    <w:p>
      <w:pPr>
        <w:spacing w:after="0" w:line="184" w:lineRule="exact"/>
        <w:rPr>
          <w:rFonts w:ascii="Arial" w:cs="Arial" w:eastAsia="Arial" w:hAnsi="Arial"/>
          <w:sz w:val="14"/>
          <w:szCs w:val="14"/>
          <w:color w:val="auto"/>
        </w:rPr>
      </w:pPr>
    </w:p>
    <w:p>
      <w:pPr>
        <w:ind w:left="880" w:right="420" w:hanging="332"/>
        <w:spacing w:after="0" w:line="285"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December 17, 2014, our PC&amp;C committee approved the grant of 2014 Contingent Option Awards to members of our management team. These options represent the half of the 2014 Contingent Option Award that were subject to time-based vesting.</w:t>
      </w:r>
    </w:p>
    <w:p>
      <w:pPr>
        <w:spacing w:after="0" w:line="184" w:lineRule="exact"/>
        <w:rPr>
          <w:rFonts w:ascii="Arial" w:cs="Arial" w:eastAsia="Arial" w:hAnsi="Arial"/>
          <w:sz w:val="14"/>
          <w:szCs w:val="14"/>
          <w:color w:val="auto"/>
        </w:rPr>
      </w:pPr>
    </w:p>
    <w:p>
      <w:pPr>
        <w:ind w:left="880" w:right="20" w:hanging="332"/>
        <w:spacing w:after="0" w:line="285"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options represent the half of the 2014 Contingent Option Award described in Note 5 above and vested in three equal installments upon the achievement of each of three specific clinical development or regulatory events.</w:t>
      </w:r>
    </w:p>
    <w:p>
      <w:pPr>
        <w:spacing w:after="0" w:line="184" w:lineRule="exact"/>
        <w:rPr>
          <w:rFonts w:ascii="Arial" w:cs="Arial" w:eastAsia="Arial" w:hAnsi="Arial"/>
          <w:sz w:val="14"/>
          <w:szCs w:val="14"/>
          <w:color w:val="auto"/>
        </w:rPr>
      </w:pPr>
    </w:p>
    <w:p>
      <w:pPr>
        <w:ind w:left="880" w:hanging="332"/>
        <w:spacing w:after="0"/>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options were granted in recognition of ten years of service by the employee and were fully vested on the date of grant.</w:t>
      </w:r>
    </w:p>
    <w:p>
      <w:pPr>
        <w:spacing w:after="0" w:line="244" w:lineRule="exact"/>
        <w:rPr>
          <w:rFonts w:ascii="Arial" w:cs="Arial" w:eastAsia="Arial" w:hAnsi="Arial"/>
          <w:sz w:val="14"/>
          <w:szCs w:val="14"/>
          <w:color w:val="auto"/>
        </w:rPr>
      </w:pPr>
    </w:p>
    <w:p>
      <w:pPr>
        <w:ind w:left="880" w:right="200" w:hanging="332"/>
        <w:spacing w:after="0" w:line="252"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PSU awards were granted on February 24, 2021 and vest in four equal installments upon the achievement of each of four specific clinical development, regulatory or commercial events, provided that the NEO continues to be employed with us through each vesting date. One-quarter of these PSUs vested in August 2022 upon the achievement of a clinical milestone, and one-quarter of these PSUs vested in August 2023 based upon the achievement of a financial milestone. The amount reported in this table reflects the PSUs that remain subject to achievement of specified performance targets. For a description of these performance targets, please see the description of the PSUs granted in 2021 in the section of the CD&amp;A entitled “Annual Equity Awards.”</w:t>
      </w:r>
    </w:p>
    <w:p>
      <w:pPr>
        <w:spacing w:after="0" w:line="207" w:lineRule="exact"/>
        <w:rPr>
          <w:rFonts w:ascii="Arial" w:cs="Arial" w:eastAsia="Arial" w:hAnsi="Arial"/>
          <w:sz w:val="14"/>
          <w:szCs w:val="14"/>
          <w:color w:val="auto"/>
        </w:rPr>
      </w:pPr>
    </w:p>
    <w:p>
      <w:pPr>
        <w:ind w:left="880" w:right="40" w:hanging="332"/>
        <w:spacing w:after="0" w:line="252"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PSU awards were granted on February 23, 2022 and vest in three equal installments upon the achievement of each of three specific clinical development, regulatory or commercial events, provided that the NEO continues to be employed with us through each vesting date. One-third of these PSUs vested in April 2023 based upon achievement of a clinical milestone. The amount reported in this table reflects the shares subject to these PSUs that remain subject to achievement of specified performance targets. For a description of these performance targets, please see the description of the PSUs granted in 2022 in the section of the CD&amp;A entitled “Annual Equity Awards.”</w:t>
      </w:r>
    </w:p>
    <w:p>
      <w:pPr>
        <w:spacing w:after="0" w:line="207" w:lineRule="exact"/>
        <w:rPr>
          <w:rFonts w:ascii="Arial" w:cs="Arial" w:eastAsia="Arial" w:hAnsi="Arial"/>
          <w:sz w:val="14"/>
          <w:szCs w:val="14"/>
          <w:color w:val="auto"/>
        </w:rPr>
      </w:pPr>
    </w:p>
    <w:p>
      <w:pPr>
        <w:ind w:left="880" w:right="280" w:hanging="332"/>
        <w:spacing w:after="0" w:line="263"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PSU awards were granted on February 27, 2023 and will vest upon the later of one year from the date of grant and the achievement of each of three specified clinical development, regulatory or commercial events, provided that the NEO continues to be employed with us through each vesting date. For a description of these performance targets, please see the description of the PSUs granted in 2023 in the section of the CD&amp;A entitled “Annual Equity Awards.”</w:t>
      </w:r>
    </w:p>
    <w:p>
      <w:pPr>
        <w:spacing w:after="0" w:line="199" w:lineRule="exact"/>
        <w:rPr>
          <w:rFonts w:ascii="Arial" w:cs="Arial" w:eastAsia="Arial" w:hAnsi="Arial"/>
          <w:sz w:val="14"/>
          <w:szCs w:val="14"/>
          <w:color w:val="auto"/>
        </w:rPr>
      </w:pPr>
    </w:p>
    <w:p>
      <w:pPr>
        <w:ind w:left="880" w:right="100" w:hanging="332"/>
        <w:spacing w:after="0" w:line="285"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RSU awards were granted on February 27, 2023, and the shares subject to this RSU vest in substantially equal installments on the first, second and third anniversaries of the grant date, provided that the NEO continues to be employed with us through each vesting date.</w:t>
      </w:r>
    </w:p>
    <w:p>
      <w:pPr>
        <w:spacing w:after="0" w:line="184" w:lineRule="exact"/>
        <w:rPr>
          <w:rFonts w:ascii="Arial" w:cs="Arial" w:eastAsia="Arial" w:hAnsi="Arial"/>
          <w:sz w:val="14"/>
          <w:szCs w:val="14"/>
          <w:color w:val="auto"/>
        </w:rPr>
      </w:pPr>
    </w:p>
    <w:p>
      <w:pPr>
        <w:ind w:left="880" w:right="780" w:hanging="332"/>
        <w:spacing w:after="0" w:line="285"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the RSU award Ms. Franchini received upon commencement of her employment, which vest ratably on each of the first, second and third anniversaries of the grant date, subject to her continued employment.</w:t>
      </w:r>
    </w:p>
    <w:p>
      <w:pPr>
        <w:spacing w:after="0" w:line="184" w:lineRule="exact"/>
        <w:rPr>
          <w:rFonts w:ascii="Arial" w:cs="Arial" w:eastAsia="Arial" w:hAnsi="Arial"/>
          <w:sz w:val="14"/>
          <w:szCs w:val="14"/>
          <w:color w:val="auto"/>
        </w:rPr>
      </w:pPr>
    </w:p>
    <w:p>
      <w:pPr>
        <w:ind w:left="880" w:right="40" w:hanging="332"/>
        <w:spacing w:after="0" w:line="263"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 Franchini’s employment with us terminated effective March 1, 2024. Under the terms of the letter agreement we entered into with Ms. Franchini in connection with her separation from employment, her outstanding equity awards will continue to vest in accordance with their terms until the end of the consulting period on February 28, 2025, after which date her unvested awards will lapse.</w:t>
      </w:r>
    </w:p>
    <w:p>
      <w:pPr>
        <w:spacing w:after="0" w:line="199" w:lineRule="exact"/>
        <w:rPr>
          <w:rFonts w:ascii="Arial" w:cs="Arial" w:eastAsia="Arial" w:hAnsi="Arial"/>
          <w:sz w:val="14"/>
          <w:szCs w:val="14"/>
          <w:color w:val="auto"/>
        </w:rPr>
      </w:pPr>
    </w:p>
    <w:p>
      <w:pPr>
        <w:ind w:left="880" w:right="560" w:hanging="332"/>
        <w:spacing w:after="0" w:line="285"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Dr. Vaishnaw ceased serving as an executive officer effective October 2, 2023 when he transitioned from the role of President to a part-time role as Chief Innovation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560" w:firstLine="771"/>
        <w:spacing w:after="0" w:line="257" w:lineRule="auto"/>
        <w:rPr>
          <w:sz w:val="20"/>
          <w:szCs w:val="20"/>
          <w:color w:val="auto"/>
        </w:rPr>
      </w:pPr>
      <w:r>
        <w:rPr>
          <w:rFonts w:ascii="Arial" w:cs="Arial" w:eastAsia="Arial" w:hAnsi="Arial"/>
          <w:sz w:val="20"/>
          <w:szCs w:val="20"/>
          <w:color w:val="auto"/>
        </w:rPr>
        <w:t>The following table sets forth information concerning the exercise of stock options and the vesting of RSUs and PSUs during 2023 for each of our NEOs.</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D3060"/>
        </w:rPr>
        <w:t>2023 Option Exercises and Stock Vested</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68"/>
        </w:trPr>
        <w:tc>
          <w:tcPr>
            <w:tcW w:w="4860" w:type="dxa"/>
            <w:vAlign w:val="bottom"/>
            <w:shd w:val="clear" w:color="auto" w:fill="1D3060"/>
          </w:tcPr>
          <w:p>
            <w:pPr>
              <w:spacing w:after="0"/>
              <w:rPr>
                <w:sz w:val="23"/>
                <w:szCs w:val="23"/>
                <w:color w:val="auto"/>
              </w:rPr>
            </w:pPr>
          </w:p>
        </w:tc>
        <w:tc>
          <w:tcPr>
            <w:tcW w:w="3080" w:type="dxa"/>
            <w:vAlign w:val="bottom"/>
            <w:gridSpan w:val="2"/>
            <w:shd w:val="clear" w:color="auto" w:fill="1D3060"/>
          </w:tcPr>
          <w:p>
            <w:pPr>
              <w:jc w:val="right"/>
              <w:ind w:right="810"/>
              <w:spacing w:after="0"/>
              <w:rPr>
                <w:sz w:val="20"/>
                <w:szCs w:val="20"/>
                <w:color w:val="auto"/>
              </w:rPr>
            </w:pPr>
            <w:r>
              <w:rPr>
                <w:rFonts w:ascii="Arial" w:cs="Arial" w:eastAsia="Arial" w:hAnsi="Arial"/>
                <w:sz w:val="18"/>
                <w:szCs w:val="18"/>
                <w:b w:val="1"/>
                <w:bCs w:val="1"/>
                <w:color w:val="FFFFFF"/>
              </w:rPr>
              <w:t>Option Awards</w:t>
            </w:r>
          </w:p>
        </w:tc>
        <w:tc>
          <w:tcPr>
            <w:tcW w:w="3080" w:type="dxa"/>
            <w:vAlign w:val="bottom"/>
            <w:gridSpan w:val="2"/>
            <w:shd w:val="clear" w:color="auto" w:fill="1D3060"/>
          </w:tcPr>
          <w:p>
            <w:pPr>
              <w:jc w:val="right"/>
              <w:ind w:right="870"/>
              <w:spacing w:after="0"/>
              <w:rPr>
                <w:sz w:val="20"/>
                <w:szCs w:val="20"/>
                <w:color w:val="auto"/>
              </w:rPr>
            </w:pPr>
            <w:r>
              <w:rPr>
                <w:rFonts w:ascii="Arial" w:cs="Arial" w:eastAsia="Arial" w:hAnsi="Arial"/>
                <w:sz w:val="18"/>
                <w:szCs w:val="18"/>
                <w:b w:val="1"/>
                <w:bCs w:val="1"/>
                <w:color w:val="FFFFFF"/>
              </w:rPr>
              <w:t>Stock Awards</w:t>
            </w:r>
          </w:p>
        </w:tc>
      </w:tr>
      <w:tr>
        <w:trPr>
          <w:trHeight w:val="272"/>
        </w:trPr>
        <w:tc>
          <w:tcPr>
            <w:tcW w:w="4860" w:type="dxa"/>
            <w:vAlign w:val="bottom"/>
            <w:shd w:val="clear" w:color="auto" w:fill="1D3060"/>
          </w:tcPr>
          <w:p>
            <w:pPr>
              <w:spacing w:after="0"/>
              <w:rPr>
                <w:sz w:val="23"/>
                <w:szCs w:val="23"/>
                <w:color w:val="auto"/>
              </w:rPr>
            </w:pPr>
          </w:p>
        </w:tc>
        <w:tc>
          <w:tcPr>
            <w:tcW w:w="170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Number of Shares</w:t>
            </w:r>
          </w:p>
        </w:tc>
        <w:tc>
          <w:tcPr>
            <w:tcW w:w="138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Value Realized</w:t>
            </w:r>
          </w:p>
        </w:tc>
        <w:tc>
          <w:tcPr>
            <w:tcW w:w="168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Number of Shares</w:t>
            </w:r>
          </w:p>
        </w:tc>
        <w:tc>
          <w:tcPr>
            <w:tcW w:w="1400" w:type="dxa"/>
            <w:vAlign w:val="bottom"/>
            <w:shd w:val="clear" w:color="auto" w:fill="1D3060"/>
          </w:tcPr>
          <w:p>
            <w:pPr>
              <w:jc w:val="right"/>
              <w:ind w:right="10"/>
              <w:spacing w:after="0"/>
              <w:rPr>
                <w:sz w:val="20"/>
                <w:szCs w:val="20"/>
                <w:color w:val="auto"/>
              </w:rPr>
            </w:pPr>
            <w:r>
              <w:rPr>
                <w:rFonts w:ascii="Arial" w:cs="Arial" w:eastAsia="Arial" w:hAnsi="Arial"/>
                <w:sz w:val="18"/>
                <w:szCs w:val="18"/>
                <w:b w:val="1"/>
                <w:bCs w:val="1"/>
                <w:color w:val="FFFFFF"/>
              </w:rPr>
              <w:t>Value Realized</w:t>
            </w:r>
          </w:p>
        </w:tc>
      </w:tr>
      <w:tr>
        <w:trPr>
          <w:trHeight w:val="203"/>
        </w:trPr>
        <w:tc>
          <w:tcPr>
            <w:tcW w:w="4860" w:type="dxa"/>
            <w:vAlign w:val="bottom"/>
            <w:shd w:val="clear" w:color="auto" w:fill="1D3060"/>
          </w:tcPr>
          <w:p>
            <w:pPr>
              <w:spacing w:after="0"/>
              <w:rPr>
                <w:sz w:val="17"/>
                <w:szCs w:val="17"/>
                <w:color w:val="auto"/>
              </w:rPr>
            </w:pPr>
          </w:p>
        </w:tc>
        <w:tc>
          <w:tcPr>
            <w:tcW w:w="17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rPr>
              <w:t>Acquired on</w:t>
            </w:r>
          </w:p>
        </w:tc>
        <w:tc>
          <w:tcPr>
            <w:tcW w:w="138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rPr>
              <w:t>on Exercise</w:t>
            </w:r>
          </w:p>
        </w:tc>
        <w:tc>
          <w:tcPr>
            <w:tcW w:w="168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rPr>
              <w:t>Acquired on</w:t>
            </w:r>
          </w:p>
        </w:tc>
        <w:tc>
          <w:tcPr>
            <w:tcW w:w="1400" w:type="dxa"/>
            <w:vAlign w:val="bottom"/>
            <w:shd w:val="clear" w:color="auto" w:fill="1D3060"/>
          </w:tcPr>
          <w:p>
            <w:pPr>
              <w:jc w:val="right"/>
              <w:ind w:right="170"/>
              <w:spacing w:after="0" w:line="202" w:lineRule="exact"/>
              <w:rPr>
                <w:sz w:val="20"/>
                <w:szCs w:val="20"/>
                <w:color w:val="auto"/>
              </w:rPr>
            </w:pPr>
            <w:r>
              <w:rPr>
                <w:rFonts w:ascii="Arial" w:cs="Arial" w:eastAsia="Arial" w:hAnsi="Arial"/>
                <w:sz w:val="18"/>
                <w:szCs w:val="18"/>
                <w:b w:val="1"/>
                <w:bCs w:val="1"/>
                <w:color w:val="FFFFFF"/>
              </w:rPr>
              <w:t>on Vesting</w:t>
            </w:r>
          </w:p>
        </w:tc>
      </w:tr>
      <w:tr>
        <w:trPr>
          <w:trHeight w:val="257"/>
        </w:trPr>
        <w:tc>
          <w:tcPr>
            <w:tcW w:w="4860" w:type="dxa"/>
            <w:vAlign w:val="bottom"/>
            <w:shd w:val="clear" w:color="auto" w:fill="1D3060"/>
          </w:tcPr>
          <w:p>
            <w:pPr>
              <w:spacing w:after="0"/>
              <w:rPr>
                <w:sz w:val="20"/>
                <w:szCs w:val="20"/>
                <w:color w:val="auto"/>
              </w:rPr>
            </w:pPr>
            <w:r>
              <w:rPr>
                <w:rFonts w:ascii="Arial" w:cs="Arial" w:eastAsia="Arial" w:hAnsi="Arial"/>
                <w:sz w:val="18"/>
                <w:szCs w:val="18"/>
                <w:b w:val="1"/>
                <w:bCs w:val="1"/>
                <w:color w:val="FFFFFF"/>
              </w:rPr>
              <w:t>  Name</w:t>
            </w:r>
          </w:p>
        </w:tc>
        <w:tc>
          <w:tcPr>
            <w:tcW w:w="170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rPr>
              <w:t>Exercise (#)</w:t>
            </w:r>
          </w:p>
        </w:tc>
        <w:tc>
          <w:tcPr>
            <w:tcW w:w="138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($)(1)</w:t>
            </w:r>
          </w:p>
        </w:tc>
        <w:tc>
          <w:tcPr>
            <w:tcW w:w="168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7"/>
              </w:rPr>
              <w:t>Vesting (#)</w:t>
            </w:r>
          </w:p>
        </w:tc>
        <w:tc>
          <w:tcPr>
            <w:tcW w:w="1400" w:type="dxa"/>
            <w:vAlign w:val="bottom"/>
            <w:shd w:val="clear" w:color="auto" w:fill="1D3060"/>
          </w:tcPr>
          <w:p>
            <w:pPr>
              <w:jc w:val="right"/>
              <w:ind w:right="510"/>
              <w:spacing w:after="0"/>
              <w:rPr>
                <w:sz w:val="20"/>
                <w:szCs w:val="20"/>
                <w:color w:val="auto"/>
              </w:rPr>
            </w:pPr>
            <w:r>
              <w:rPr>
                <w:rFonts w:ascii="Arial" w:cs="Arial" w:eastAsia="Arial" w:hAnsi="Arial"/>
                <w:sz w:val="18"/>
                <w:szCs w:val="18"/>
                <w:b w:val="1"/>
                <w:bCs w:val="1"/>
                <w:color w:val="FFFFFF"/>
              </w:rPr>
              <w:t>($)</w:t>
            </w:r>
          </w:p>
        </w:tc>
      </w:tr>
      <w:tr>
        <w:trPr>
          <w:trHeight w:val="277"/>
        </w:trPr>
        <w:tc>
          <w:tcPr>
            <w:tcW w:w="486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8"/>
                <w:szCs w:val="18"/>
                <w:color w:val="auto"/>
              </w:rPr>
              <w:t>  Yvonne L. Greenstreet, MBChB, MBA</w:t>
            </w:r>
          </w:p>
        </w:tc>
        <w:tc>
          <w:tcPr>
            <w:tcW w:w="170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25,893</w:t>
            </w:r>
          </w:p>
        </w:tc>
        <w:tc>
          <w:tcPr>
            <w:tcW w:w="140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5,048,040</w:t>
            </w:r>
          </w:p>
        </w:tc>
      </w:tr>
      <w:tr>
        <w:trPr>
          <w:trHeight w:val="261"/>
        </w:trPr>
        <w:tc>
          <w:tcPr>
            <w:tcW w:w="4860" w:type="dxa"/>
            <w:vAlign w:val="bottom"/>
          </w:tcPr>
          <w:p>
            <w:pPr>
              <w:spacing w:after="0"/>
              <w:rPr>
                <w:sz w:val="20"/>
                <w:szCs w:val="20"/>
                <w:color w:val="auto"/>
              </w:rPr>
            </w:pPr>
            <w:r>
              <w:rPr>
                <w:rFonts w:ascii="Arial" w:cs="Arial" w:eastAsia="Arial" w:hAnsi="Arial"/>
                <w:sz w:val="18"/>
                <w:szCs w:val="18"/>
                <w:color w:val="auto"/>
              </w:rPr>
              <w:t>  Jeffrey V. Poulton</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10,904</w:t>
            </w:r>
          </w:p>
        </w:tc>
        <w:tc>
          <w:tcPr>
            <w:tcW w:w="1400" w:type="dxa"/>
            <w:vAlign w:val="bottom"/>
          </w:tcPr>
          <w:p>
            <w:pPr>
              <w:jc w:val="right"/>
              <w:spacing w:after="0"/>
              <w:rPr>
                <w:sz w:val="20"/>
                <w:szCs w:val="20"/>
                <w:color w:val="auto"/>
              </w:rPr>
            </w:pPr>
            <w:r>
              <w:rPr>
                <w:rFonts w:ascii="Arial" w:cs="Arial" w:eastAsia="Arial" w:hAnsi="Arial"/>
                <w:sz w:val="18"/>
                <w:szCs w:val="18"/>
                <w:color w:val="auto"/>
              </w:rPr>
              <w:t>2,097,170</w:t>
            </w:r>
          </w:p>
        </w:tc>
      </w:tr>
      <w:tr>
        <w:trPr>
          <w:trHeight w:val="36"/>
        </w:trPr>
        <w:tc>
          <w:tcPr>
            <w:tcW w:w="48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7"/>
        </w:trPr>
        <w:tc>
          <w:tcPr>
            <w:tcW w:w="486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8"/>
                <w:szCs w:val="18"/>
                <w:color w:val="auto"/>
              </w:rPr>
              <w:t>  Pushkal Garg, M.D.</w:t>
            </w:r>
          </w:p>
        </w:tc>
        <w:tc>
          <w:tcPr>
            <w:tcW w:w="170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5,000</w:t>
            </w:r>
          </w:p>
        </w:tc>
        <w:tc>
          <w:tcPr>
            <w:tcW w:w="138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517,750</w:t>
            </w:r>
          </w:p>
        </w:tc>
        <w:tc>
          <w:tcPr>
            <w:tcW w:w="168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11,921</w:t>
            </w:r>
          </w:p>
        </w:tc>
        <w:tc>
          <w:tcPr>
            <w:tcW w:w="140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2,298,040</w:t>
            </w:r>
          </w:p>
        </w:tc>
      </w:tr>
      <w:tr>
        <w:trPr>
          <w:trHeight w:val="261"/>
        </w:trPr>
        <w:tc>
          <w:tcPr>
            <w:tcW w:w="4860" w:type="dxa"/>
            <w:vAlign w:val="bottom"/>
          </w:tcPr>
          <w:p>
            <w:pPr>
              <w:spacing w:after="0"/>
              <w:rPr>
                <w:sz w:val="20"/>
                <w:szCs w:val="20"/>
                <w:color w:val="auto"/>
              </w:rPr>
            </w:pPr>
            <w:r>
              <w:rPr>
                <w:rFonts w:ascii="Arial" w:cs="Arial" w:eastAsia="Arial" w:hAnsi="Arial"/>
                <w:sz w:val="18"/>
                <w:szCs w:val="18"/>
                <w:color w:val="auto"/>
              </w:rPr>
              <w:t>  Tolga Tanguler</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8,302</w:t>
            </w:r>
          </w:p>
        </w:tc>
        <w:tc>
          <w:tcPr>
            <w:tcW w:w="1400" w:type="dxa"/>
            <w:vAlign w:val="bottom"/>
          </w:tcPr>
          <w:p>
            <w:pPr>
              <w:jc w:val="right"/>
              <w:spacing w:after="0"/>
              <w:rPr>
                <w:sz w:val="20"/>
                <w:szCs w:val="20"/>
                <w:color w:val="auto"/>
              </w:rPr>
            </w:pPr>
            <w:r>
              <w:rPr>
                <w:rFonts w:ascii="Arial" w:cs="Arial" w:eastAsia="Arial" w:hAnsi="Arial"/>
                <w:sz w:val="18"/>
                <w:szCs w:val="18"/>
                <w:color w:val="auto"/>
              </w:rPr>
              <w:t>1,777,450</w:t>
            </w:r>
          </w:p>
        </w:tc>
      </w:tr>
      <w:tr>
        <w:trPr>
          <w:trHeight w:val="36"/>
        </w:trPr>
        <w:tc>
          <w:tcPr>
            <w:tcW w:w="48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7"/>
        </w:trPr>
        <w:tc>
          <w:tcPr>
            <w:tcW w:w="486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8"/>
                <w:szCs w:val="18"/>
                <w:color w:val="auto"/>
              </w:rPr>
              <w:t>  Indrani L. Franchini, J.D.(2)</w:t>
            </w:r>
          </w:p>
        </w:tc>
        <w:tc>
          <w:tcPr>
            <w:tcW w:w="170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5,175</w:t>
            </w:r>
          </w:p>
        </w:tc>
        <w:tc>
          <w:tcPr>
            <w:tcW w:w="1400" w:type="dxa"/>
            <w:vAlign w:val="bottom"/>
            <w:tcBorders>
              <w:bottom w:val="single" w:sz="8" w:color="D7E8F5"/>
            </w:tcBorders>
            <w:shd w:val="clear" w:color="auto" w:fill="D7E8F5"/>
          </w:tcPr>
          <w:p>
            <w:pPr>
              <w:jc w:val="right"/>
              <w:spacing w:after="0"/>
              <w:rPr>
                <w:sz w:val="20"/>
                <w:szCs w:val="20"/>
                <w:color w:val="auto"/>
              </w:rPr>
            </w:pPr>
            <w:r>
              <w:rPr>
                <w:rFonts w:ascii="Arial" w:cs="Arial" w:eastAsia="Arial" w:hAnsi="Arial"/>
                <w:sz w:val="18"/>
                <w:szCs w:val="18"/>
                <w:color w:val="auto"/>
              </w:rPr>
              <w:t>1,163,910</w:t>
            </w:r>
          </w:p>
        </w:tc>
      </w:tr>
      <w:tr>
        <w:trPr>
          <w:trHeight w:val="261"/>
        </w:trPr>
        <w:tc>
          <w:tcPr>
            <w:tcW w:w="4860" w:type="dxa"/>
            <w:vAlign w:val="bottom"/>
          </w:tcPr>
          <w:p>
            <w:pPr>
              <w:spacing w:after="0"/>
              <w:rPr>
                <w:sz w:val="20"/>
                <w:szCs w:val="20"/>
                <w:color w:val="auto"/>
              </w:rPr>
            </w:pPr>
            <w:r>
              <w:rPr>
                <w:rFonts w:ascii="Arial" w:cs="Arial" w:eastAsia="Arial" w:hAnsi="Arial"/>
                <w:sz w:val="18"/>
                <w:szCs w:val="18"/>
                <w:color w:val="auto"/>
              </w:rPr>
              <w:t>  Akshay K. Vaishnaw, M.D., Ph.D.(3)</w:t>
            </w:r>
          </w:p>
        </w:tc>
        <w:tc>
          <w:tcPr>
            <w:tcW w:w="1700" w:type="dxa"/>
            <w:vAlign w:val="bottom"/>
          </w:tcPr>
          <w:p>
            <w:pPr>
              <w:jc w:val="right"/>
              <w:spacing w:after="0"/>
              <w:rPr>
                <w:sz w:val="20"/>
                <w:szCs w:val="20"/>
                <w:color w:val="auto"/>
              </w:rPr>
            </w:pPr>
            <w:r>
              <w:rPr>
                <w:rFonts w:ascii="Arial" w:cs="Arial" w:eastAsia="Arial" w:hAnsi="Arial"/>
                <w:sz w:val="18"/>
                <w:szCs w:val="18"/>
                <w:color w:val="auto"/>
              </w:rPr>
              <w:t>41,745</w:t>
            </w:r>
          </w:p>
        </w:tc>
        <w:tc>
          <w:tcPr>
            <w:tcW w:w="1380" w:type="dxa"/>
            <w:vAlign w:val="bottom"/>
          </w:tcPr>
          <w:p>
            <w:pPr>
              <w:jc w:val="right"/>
              <w:spacing w:after="0"/>
              <w:rPr>
                <w:sz w:val="20"/>
                <w:szCs w:val="20"/>
                <w:color w:val="auto"/>
              </w:rPr>
            </w:pPr>
            <w:r>
              <w:rPr>
                <w:rFonts w:ascii="Arial" w:cs="Arial" w:eastAsia="Arial" w:hAnsi="Arial"/>
                <w:sz w:val="18"/>
                <w:szCs w:val="18"/>
                <w:color w:val="auto"/>
              </w:rPr>
              <w:t>5,902,096</w:t>
            </w:r>
          </w:p>
        </w:tc>
        <w:tc>
          <w:tcPr>
            <w:tcW w:w="1680" w:type="dxa"/>
            <w:vAlign w:val="bottom"/>
          </w:tcPr>
          <w:p>
            <w:pPr>
              <w:jc w:val="right"/>
              <w:spacing w:after="0"/>
              <w:rPr>
                <w:sz w:val="20"/>
                <w:szCs w:val="20"/>
                <w:color w:val="auto"/>
              </w:rPr>
            </w:pPr>
            <w:r>
              <w:rPr>
                <w:rFonts w:ascii="Arial" w:cs="Arial" w:eastAsia="Arial" w:hAnsi="Arial"/>
                <w:sz w:val="18"/>
                <w:szCs w:val="18"/>
                <w:color w:val="auto"/>
              </w:rPr>
              <w:t>14,253</w:t>
            </w:r>
          </w:p>
        </w:tc>
        <w:tc>
          <w:tcPr>
            <w:tcW w:w="1400" w:type="dxa"/>
            <w:vAlign w:val="bottom"/>
          </w:tcPr>
          <w:p>
            <w:pPr>
              <w:jc w:val="right"/>
              <w:spacing w:after="0"/>
              <w:rPr>
                <w:sz w:val="20"/>
                <w:szCs w:val="20"/>
                <w:color w:val="auto"/>
              </w:rPr>
            </w:pPr>
            <w:r>
              <w:rPr>
                <w:rFonts w:ascii="Arial" w:cs="Arial" w:eastAsia="Arial" w:hAnsi="Arial"/>
                <w:sz w:val="18"/>
                <w:szCs w:val="18"/>
                <w:color w:val="auto"/>
              </w:rPr>
              <w:t>2,748,910</w:t>
            </w:r>
          </w:p>
        </w:tc>
      </w:tr>
      <w:tr>
        <w:trPr>
          <w:trHeight w:val="37"/>
        </w:trPr>
        <w:tc>
          <w:tcPr>
            <w:tcW w:w="4860" w:type="dxa"/>
            <w:vAlign w:val="bottom"/>
            <w:tcBorders>
              <w:bottom w:val="single" w:sz="8" w:color="2275B5"/>
            </w:tcBorders>
          </w:tcPr>
          <w:p>
            <w:pPr>
              <w:spacing w:after="0"/>
              <w:rPr>
                <w:sz w:val="3"/>
                <w:szCs w:val="3"/>
                <w:color w:val="auto"/>
              </w:rPr>
            </w:pPr>
          </w:p>
        </w:tc>
        <w:tc>
          <w:tcPr>
            <w:tcW w:w="1700" w:type="dxa"/>
            <w:vAlign w:val="bottom"/>
            <w:tcBorders>
              <w:bottom w:val="single" w:sz="8" w:color="2275B5"/>
            </w:tcBorders>
          </w:tcPr>
          <w:p>
            <w:pPr>
              <w:spacing w:after="0"/>
              <w:rPr>
                <w:sz w:val="3"/>
                <w:szCs w:val="3"/>
                <w:color w:val="auto"/>
              </w:rPr>
            </w:pPr>
          </w:p>
        </w:tc>
        <w:tc>
          <w:tcPr>
            <w:tcW w:w="1380" w:type="dxa"/>
            <w:vAlign w:val="bottom"/>
            <w:tcBorders>
              <w:bottom w:val="single" w:sz="8" w:color="2275B5"/>
            </w:tcBorders>
          </w:tcPr>
          <w:p>
            <w:pPr>
              <w:spacing w:after="0"/>
              <w:rPr>
                <w:sz w:val="3"/>
                <w:szCs w:val="3"/>
                <w:color w:val="auto"/>
              </w:rPr>
            </w:pPr>
          </w:p>
        </w:tc>
        <w:tc>
          <w:tcPr>
            <w:tcW w:w="1680" w:type="dxa"/>
            <w:vAlign w:val="bottom"/>
            <w:tcBorders>
              <w:bottom w:val="single" w:sz="8" w:color="2275B5"/>
            </w:tcBorders>
          </w:tcPr>
          <w:p>
            <w:pPr>
              <w:spacing w:after="0"/>
              <w:rPr>
                <w:sz w:val="3"/>
                <w:szCs w:val="3"/>
                <w:color w:val="auto"/>
              </w:rPr>
            </w:pPr>
          </w:p>
        </w:tc>
        <w:tc>
          <w:tcPr>
            <w:tcW w:w="1400" w:type="dxa"/>
            <w:vAlign w:val="bottom"/>
            <w:tcBorders>
              <w:bottom w:val="single" w:sz="8" w:color="2275B5"/>
            </w:tcBorders>
          </w:tcPr>
          <w:p>
            <w:pPr>
              <w:spacing w:after="0"/>
              <w:rPr>
                <w:sz w:val="3"/>
                <w:szCs w:val="3"/>
                <w:color w:val="auto"/>
              </w:rPr>
            </w:pPr>
          </w:p>
        </w:tc>
      </w:tr>
    </w:tbl>
    <w:p>
      <w:pPr>
        <w:spacing w:after="0" w:line="234" w:lineRule="exact"/>
        <w:rPr>
          <w:sz w:val="20"/>
          <w:szCs w:val="20"/>
          <w:color w:val="auto"/>
        </w:rPr>
      </w:pPr>
    </w:p>
    <w:p>
      <w:pPr>
        <w:ind w:left="880" w:hanging="332"/>
        <w:spacing w:after="0"/>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value realized on exercise is based on the market price of the shares at exercise less the applicable option exercise price.</w:t>
      </w:r>
    </w:p>
    <w:p>
      <w:pPr>
        <w:spacing w:after="0" w:line="244" w:lineRule="exact"/>
        <w:rPr>
          <w:rFonts w:ascii="Arial" w:cs="Arial" w:eastAsia="Arial" w:hAnsi="Arial"/>
          <w:sz w:val="14"/>
          <w:szCs w:val="14"/>
          <w:color w:val="auto"/>
        </w:rPr>
      </w:pPr>
    </w:p>
    <w:p>
      <w:pPr>
        <w:ind w:left="880" w:hanging="332"/>
        <w:spacing w:after="0"/>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Ms. Franchini’s employment with us terminated effective March 1, 2024.</w:t>
      </w:r>
    </w:p>
    <w:p>
      <w:pPr>
        <w:spacing w:after="0" w:line="244" w:lineRule="exact"/>
        <w:rPr>
          <w:rFonts w:ascii="Arial" w:cs="Arial" w:eastAsia="Arial" w:hAnsi="Arial"/>
          <w:sz w:val="14"/>
          <w:szCs w:val="14"/>
          <w:color w:val="auto"/>
        </w:rPr>
      </w:pPr>
    </w:p>
    <w:p>
      <w:pPr>
        <w:ind w:left="880" w:right="560" w:hanging="332"/>
        <w:spacing w:after="0" w:line="285" w:lineRule="auto"/>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Dr. Vaishnaw ceased serving as an executive officer effective October 2, 2023 when he transitioned from the role of President to a part-time role as Chief Innovation Officer.</w:t>
      </w:r>
    </w:p>
    <w:p>
      <w:pPr>
        <w:spacing w:after="0" w:line="143"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1D3060"/>
        </w:rPr>
        <w:t>Potential Payments Upon Termination or Change-in-Control (CIC)</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CEO Employment Agreement</w:t>
      </w:r>
    </w:p>
    <w:p>
      <w:pPr>
        <w:spacing w:after="0" w:line="202" w:lineRule="exact"/>
        <w:rPr>
          <w:sz w:val="20"/>
          <w:szCs w:val="20"/>
          <w:color w:val="auto"/>
        </w:rPr>
      </w:pPr>
    </w:p>
    <w:p>
      <w:pPr>
        <w:ind w:left="120" w:right="40" w:firstLine="771"/>
        <w:spacing w:after="0" w:line="241" w:lineRule="auto"/>
        <w:rPr>
          <w:sz w:val="20"/>
          <w:szCs w:val="20"/>
          <w:color w:val="auto"/>
        </w:rPr>
      </w:pPr>
      <w:r>
        <w:rPr>
          <w:rFonts w:ascii="Arial" w:cs="Arial" w:eastAsia="Arial" w:hAnsi="Arial"/>
          <w:sz w:val="19"/>
          <w:szCs w:val="19"/>
          <w:color w:val="auto"/>
        </w:rPr>
        <w:t>Under the Greenstreet Employment Agreement, if Dr. Greenstreet’s employment is terminated by the company without Cause or by Dr. Greenstreet for Good Reason prior to a CIC as such terms are defined in the Greenstreet Employment Agreement, she will not receive any cash severance, her outstanding unvested equity awards will continue to vest until the second anniversary of the termination date, and her outstanding stock options shall remain exercisable until the earlier of the second anniversary of the termination date and the original expiration dates of such options; provided that in the event that a CIC occurs on or before the second anniversary of the termination date, her then-outstanding stock options will be treated in the same manner as the then-outstanding stock options held by continuing members of our executive leadership team. The Greenstreet Employment Agreement had an initial term through December 31, 2023 and automatically renews for one year periods unless written notice to terminate is given by either party. Assuming Dr. Greenstreet’s employment had been terminated without Cause or for Good Reason on December 31, 2023, and not in connection with a CIC, the estimated value of continued vesting of her equity awards for an additional two years is $1,853,470, based on $191.41 per share (the closing price of our common stock on the Nasdaq Global Select Market on the last trading day of 2023).</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Change in Control Arrangements</w:t>
      </w:r>
    </w:p>
    <w:p>
      <w:pPr>
        <w:spacing w:after="0" w:line="202" w:lineRule="exact"/>
        <w:rPr>
          <w:sz w:val="20"/>
          <w:szCs w:val="20"/>
          <w:color w:val="auto"/>
        </w:rPr>
      </w:pPr>
    </w:p>
    <w:p>
      <w:pPr>
        <w:ind w:left="120" w:right="180" w:firstLine="771"/>
        <w:spacing w:after="0" w:line="234" w:lineRule="auto"/>
        <w:rPr>
          <w:sz w:val="20"/>
          <w:szCs w:val="20"/>
          <w:color w:val="auto"/>
        </w:rPr>
      </w:pPr>
      <w:r>
        <w:rPr>
          <w:rFonts w:ascii="Arial" w:cs="Arial" w:eastAsia="Arial" w:hAnsi="Arial"/>
          <w:sz w:val="20"/>
          <w:szCs w:val="20"/>
          <w:color w:val="auto"/>
        </w:rPr>
        <w:t>We have entered into an individual CIC agreement with each member of our executive leadership team, and all of our other current NEOs, with the exception of our CEO, Dr. Greenstreet, with whom we entered into the Greenstreet Employment Agreement in December 2021 as described above. The CIC agreements and Greenstreet Employment Agreement, respectively, entitle each executive to certain benefits in the event of certain terminations of employment with us within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160"/>
        <w:spacing w:after="0"/>
        <w:rPr>
          <w:sz w:val="20"/>
          <w:szCs w:val="20"/>
          <w:color w:val="auto"/>
        </w:rPr>
      </w:pPr>
      <w:r>
        <w:rPr>
          <w:rFonts w:ascii="Arial" w:cs="Arial" w:eastAsia="Arial" w:hAnsi="Arial"/>
          <w:sz w:val="19"/>
          <w:szCs w:val="19"/>
          <w:color w:val="auto"/>
        </w:rPr>
        <w:t>specified period following a CIC. Pursuant to each CIC Agreement and the Greenstreet Employment Agreement, if an executive is terminated by us without Cause (as defined in the applicable agreement) or if an executive terminates his or her employment for Good Reason (as defined in the applicable agreement), in either case, within 12 months following a CIC (or, in the case of our CEO, 18 months), such executive will be entitled to receive (i) a lump sum cash payment equal to one and a half times, or in the case of our CEO, two times, the sum of: (A) his or her annual base salary in effect immediately prior to termination (or prior to the CIC, if higher) and (B) his or her target bonus for the fiscal year in which the CIC occurred; and</w:t>
      </w:r>
    </w:p>
    <w:p>
      <w:pPr>
        <w:ind w:left="400" w:hanging="284"/>
        <w:spacing w:after="0" w:line="228" w:lineRule="auto"/>
        <w:tabs>
          <w:tab w:leader="none" w:pos="4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the executive was participating in our group health plan immediately prior to such termination and elects continuation</w:t>
      </w:r>
    </w:p>
    <w:p>
      <w:pPr>
        <w:ind w:left="120" w:right="120"/>
        <w:spacing w:after="0" w:line="230" w:lineRule="auto"/>
        <w:rPr>
          <w:rFonts w:ascii="Arial" w:cs="Arial" w:eastAsia="Arial" w:hAnsi="Arial"/>
          <w:sz w:val="20"/>
          <w:szCs w:val="20"/>
          <w:color w:val="auto"/>
        </w:rPr>
      </w:pPr>
      <w:r>
        <w:rPr>
          <w:rFonts w:ascii="Arial" w:cs="Arial" w:eastAsia="Arial" w:hAnsi="Arial"/>
          <w:sz w:val="20"/>
          <w:szCs w:val="20"/>
          <w:color w:val="auto"/>
        </w:rPr>
        <w:t>coverage under COBRA, a monthly cash payment for 18 months (or, in the case of our CEO, 24 months) (or the expiration of the COBRA continuation period, if earlier) equal to the monthly employer contribution we would have paid to provide the executive with health insurance if he or she had remained employed. In addition, in the event of a CIC and a qualifying termination of employment, all of an executive’s outstanding unvested stock options and other stock-based awards shall immediately accelerate and become fully exercisable or nonforfeitable. Receipt of these payments and benefits is subject to execution of a general release of claims in favor of us.</w:t>
      </w:r>
    </w:p>
    <w:p>
      <w:pPr>
        <w:spacing w:after="0" w:line="172" w:lineRule="exact"/>
        <w:rPr>
          <w:sz w:val="20"/>
          <w:szCs w:val="20"/>
          <w:color w:val="auto"/>
        </w:rPr>
      </w:pPr>
    </w:p>
    <w:p>
      <w:pPr>
        <w:ind w:left="120" w:right="140" w:firstLine="771"/>
        <w:spacing w:after="0" w:line="237" w:lineRule="auto"/>
        <w:rPr>
          <w:sz w:val="20"/>
          <w:szCs w:val="20"/>
          <w:color w:val="auto"/>
        </w:rPr>
      </w:pPr>
      <w:r>
        <w:rPr>
          <w:rFonts w:ascii="Arial" w:cs="Arial" w:eastAsia="Arial" w:hAnsi="Arial"/>
          <w:sz w:val="20"/>
          <w:szCs w:val="20"/>
          <w:color w:val="auto"/>
        </w:rPr>
        <w:t>If any payment and benefits to be paid or provided to an executive, whether pursuant to the terms of a CIC Agreement or the Greenstreet Employment Agreement would be subject to “golden parachute” excise taxes under the Code, the payments and benefits will be reduced to the extent necessary to avoid such excise taxes, but only if such a reduction of pay or benefits would result in a greater after-tax benefit to the executive.</w:t>
      </w:r>
    </w:p>
    <w:p>
      <w:pPr>
        <w:spacing w:after="0" w:line="172" w:lineRule="exact"/>
        <w:rPr>
          <w:sz w:val="20"/>
          <w:szCs w:val="20"/>
          <w:color w:val="auto"/>
        </w:rPr>
      </w:pPr>
    </w:p>
    <w:p>
      <w:pPr>
        <w:ind w:left="120" w:right="160" w:firstLine="771"/>
        <w:spacing w:after="0" w:line="241" w:lineRule="auto"/>
        <w:rPr>
          <w:sz w:val="20"/>
          <w:szCs w:val="20"/>
          <w:color w:val="auto"/>
        </w:rPr>
      </w:pPr>
      <w:r>
        <w:rPr>
          <w:rFonts w:ascii="Arial" w:cs="Arial" w:eastAsia="Arial" w:hAnsi="Arial"/>
          <w:sz w:val="20"/>
          <w:szCs w:val="20"/>
          <w:color w:val="auto"/>
        </w:rPr>
        <w:t>Each CIC Agreement will terminate upon the earlier of (i) an executive’s termination of employment with us for any reason prior to a CIC, (ii) an executive’s termination of employment with us after a CIC for Cause or without Good Reason or (iii) the date that is 12 months after a CIC, if the executive is still employed by us at such time.</w:t>
      </w:r>
    </w:p>
    <w:p>
      <w:pPr>
        <w:spacing w:after="0" w:line="171" w:lineRule="exact"/>
        <w:rPr>
          <w:sz w:val="20"/>
          <w:szCs w:val="20"/>
          <w:color w:val="auto"/>
        </w:rPr>
      </w:pPr>
    </w:p>
    <w:p>
      <w:pPr>
        <w:ind w:left="120" w:right="100" w:firstLine="771"/>
        <w:spacing w:after="0" w:line="234" w:lineRule="auto"/>
        <w:rPr>
          <w:sz w:val="20"/>
          <w:szCs w:val="20"/>
          <w:color w:val="auto"/>
        </w:rPr>
      </w:pPr>
      <w:r>
        <w:rPr>
          <w:rFonts w:ascii="Arial" w:cs="Arial" w:eastAsia="Arial" w:hAnsi="Arial"/>
          <w:sz w:val="20"/>
          <w:szCs w:val="20"/>
          <w:color w:val="auto"/>
        </w:rPr>
        <w:t>Accordingly, the following table sets forth potential payments and benefits payable assuming a termination date of December 31, 2023 for our NEOs in connection with a CIC. Other than the Greenstreet Employment Agreement and the CIC agreements with our other NEOs, each as described above, we do not maintain employment agreements with any of our NEOs pursuant to which they would become eligible for potential severance payments upon termination or in connection with a change in control.</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4340" w:type="dxa"/>
            <w:vAlign w:val="bottom"/>
            <w:shd w:val="clear" w:color="auto" w:fill="1D3060"/>
          </w:tcPr>
          <w:p>
            <w:pPr>
              <w:spacing w:after="0"/>
              <w:rPr>
                <w:sz w:val="19"/>
                <w:szCs w:val="19"/>
                <w:color w:val="auto"/>
              </w:rPr>
            </w:pPr>
          </w:p>
        </w:tc>
        <w:tc>
          <w:tcPr>
            <w:tcW w:w="1660" w:type="dxa"/>
            <w:vAlign w:val="bottom"/>
            <w:shd w:val="clear" w:color="auto" w:fill="1D3060"/>
          </w:tcPr>
          <w:p>
            <w:pPr>
              <w:spacing w:after="0"/>
              <w:rPr>
                <w:sz w:val="19"/>
                <w:szCs w:val="19"/>
                <w:color w:val="auto"/>
              </w:rPr>
            </w:pPr>
          </w:p>
        </w:tc>
        <w:tc>
          <w:tcPr>
            <w:tcW w:w="148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Continuation</w:t>
            </w:r>
          </w:p>
        </w:tc>
        <w:tc>
          <w:tcPr>
            <w:tcW w:w="1340" w:type="dxa"/>
            <w:vAlign w:val="bottom"/>
            <w:shd w:val="clear" w:color="auto" w:fill="1D3060"/>
          </w:tcPr>
          <w:p>
            <w:pPr>
              <w:spacing w:after="0"/>
              <w:rPr>
                <w:sz w:val="19"/>
                <w:szCs w:val="19"/>
                <w:color w:val="auto"/>
              </w:rPr>
            </w:pPr>
          </w:p>
        </w:tc>
        <w:tc>
          <w:tcPr>
            <w:tcW w:w="120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Accelerated</w:t>
            </w:r>
          </w:p>
        </w:tc>
        <w:tc>
          <w:tcPr>
            <w:tcW w:w="1000" w:type="dxa"/>
            <w:vAlign w:val="bottom"/>
            <w:shd w:val="clear" w:color="auto" w:fill="1D3060"/>
          </w:tcPr>
          <w:p>
            <w:pPr>
              <w:spacing w:after="0"/>
              <w:rPr>
                <w:sz w:val="19"/>
                <w:szCs w:val="19"/>
                <w:color w:val="auto"/>
              </w:rPr>
            </w:pPr>
          </w:p>
        </w:tc>
      </w:tr>
      <w:tr>
        <w:trPr>
          <w:trHeight w:val="203"/>
        </w:trPr>
        <w:tc>
          <w:tcPr>
            <w:tcW w:w="4340" w:type="dxa"/>
            <w:vAlign w:val="bottom"/>
            <w:shd w:val="clear" w:color="auto" w:fill="1D3060"/>
          </w:tcPr>
          <w:p>
            <w:pPr>
              <w:spacing w:after="0"/>
              <w:rPr>
                <w:sz w:val="17"/>
                <w:szCs w:val="17"/>
                <w:color w:val="auto"/>
              </w:rPr>
            </w:pPr>
          </w:p>
        </w:tc>
        <w:tc>
          <w:tcPr>
            <w:tcW w:w="1660" w:type="dxa"/>
            <w:vAlign w:val="bottom"/>
            <w:shd w:val="clear" w:color="auto" w:fill="1D3060"/>
          </w:tcPr>
          <w:p>
            <w:pPr>
              <w:spacing w:after="0"/>
              <w:rPr>
                <w:sz w:val="17"/>
                <w:szCs w:val="17"/>
                <w:color w:val="auto"/>
              </w:rPr>
            </w:pPr>
          </w:p>
        </w:tc>
        <w:tc>
          <w:tcPr>
            <w:tcW w:w="148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rPr>
              <w:t>of Medical,</w:t>
            </w:r>
          </w:p>
        </w:tc>
        <w:tc>
          <w:tcPr>
            <w:tcW w:w="134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9"/>
              </w:rPr>
              <w:t>Accelerated</w:t>
            </w:r>
          </w:p>
        </w:tc>
        <w:tc>
          <w:tcPr>
            <w:tcW w:w="12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8"/>
              </w:rPr>
              <w:t>Vesting of</w:t>
            </w:r>
          </w:p>
        </w:tc>
        <w:tc>
          <w:tcPr>
            <w:tcW w:w="1000" w:type="dxa"/>
            <w:vAlign w:val="bottom"/>
            <w:shd w:val="clear" w:color="auto" w:fill="1D3060"/>
          </w:tcPr>
          <w:p>
            <w:pPr>
              <w:spacing w:after="0"/>
              <w:rPr>
                <w:sz w:val="17"/>
                <w:szCs w:val="17"/>
                <w:color w:val="auto"/>
              </w:rPr>
            </w:pPr>
          </w:p>
        </w:tc>
      </w:tr>
      <w:tr>
        <w:trPr>
          <w:trHeight w:val="203"/>
        </w:trPr>
        <w:tc>
          <w:tcPr>
            <w:tcW w:w="4340" w:type="dxa"/>
            <w:vAlign w:val="bottom"/>
            <w:shd w:val="clear" w:color="auto" w:fill="1D3060"/>
          </w:tcPr>
          <w:p>
            <w:pPr>
              <w:spacing w:after="0"/>
              <w:rPr>
                <w:sz w:val="17"/>
                <w:szCs w:val="17"/>
                <w:color w:val="auto"/>
              </w:rPr>
            </w:pPr>
          </w:p>
        </w:tc>
        <w:tc>
          <w:tcPr>
            <w:tcW w:w="1660" w:type="dxa"/>
            <w:vAlign w:val="bottom"/>
            <w:shd w:val="clear" w:color="auto" w:fill="1D3060"/>
          </w:tcPr>
          <w:p>
            <w:pPr>
              <w:jc w:val="center"/>
              <w:ind w:left="50"/>
              <w:spacing w:after="0" w:line="202" w:lineRule="exact"/>
              <w:rPr>
                <w:sz w:val="20"/>
                <w:szCs w:val="20"/>
                <w:color w:val="auto"/>
              </w:rPr>
            </w:pPr>
            <w:r>
              <w:rPr>
                <w:rFonts w:ascii="Arial" w:cs="Arial" w:eastAsia="Arial" w:hAnsi="Arial"/>
                <w:sz w:val="18"/>
                <w:szCs w:val="18"/>
                <w:b w:val="1"/>
                <w:bCs w:val="1"/>
                <w:color w:val="FFFFFF"/>
                <w:w w:val="99"/>
              </w:rPr>
              <w:t>Cash</w:t>
            </w:r>
          </w:p>
        </w:tc>
        <w:tc>
          <w:tcPr>
            <w:tcW w:w="148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9"/>
              </w:rPr>
              <w:t>Dental and</w:t>
            </w:r>
          </w:p>
        </w:tc>
        <w:tc>
          <w:tcPr>
            <w:tcW w:w="134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8"/>
              </w:rPr>
              <w:t>Vesting of</w:t>
            </w:r>
          </w:p>
        </w:tc>
        <w:tc>
          <w:tcPr>
            <w:tcW w:w="12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9"/>
              </w:rPr>
              <w:t>Restricted</w:t>
            </w:r>
          </w:p>
        </w:tc>
        <w:tc>
          <w:tcPr>
            <w:tcW w:w="10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2"/>
              </w:rPr>
              <w:t>Total</w:t>
            </w:r>
          </w:p>
        </w:tc>
      </w:tr>
      <w:tr>
        <w:trPr>
          <w:trHeight w:val="203"/>
        </w:trPr>
        <w:tc>
          <w:tcPr>
            <w:tcW w:w="4340" w:type="dxa"/>
            <w:vAlign w:val="bottom"/>
            <w:shd w:val="clear" w:color="auto" w:fill="1D3060"/>
          </w:tcPr>
          <w:p>
            <w:pPr>
              <w:spacing w:after="0"/>
              <w:rPr>
                <w:sz w:val="17"/>
                <w:szCs w:val="17"/>
                <w:color w:val="auto"/>
              </w:rPr>
            </w:pPr>
          </w:p>
        </w:tc>
        <w:tc>
          <w:tcPr>
            <w:tcW w:w="1660" w:type="dxa"/>
            <w:vAlign w:val="bottom"/>
            <w:shd w:val="clear" w:color="auto" w:fill="1D3060"/>
          </w:tcPr>
          <w:p>
            <w:pPr>
              <w:jc w:val="center"/>
              <w:ind w:left="70"/>
              <w:spacing w:after="0" w:line="202" w:lineRule="exact"/>
              <w:rPr>
                <w:sz w:val="20"/>
                <w:szCs w:val="20"/>
                <w:color w:val="auto"/>
              </w:rPr>
            </w:pPr>
            <w:r>
              <w:rPr>
                <w:rFonts w:ascii="Arial" w:cs="Arial" w:eastAsia="Arial" w:hAnsi="Arial"/>
                <w:sz w:val="18"/>
                <w:szCs w:val="18"/>
                <w:b w:val="1"/>
                <w:bCs w:val="1"/>
                <w:color w:val="FFFFFF"/>
                <w:w w:val="99"/>
              </w:rPr>
              <w:t>Severance</w:t>
            </w:r>
          </w:p>
        </w:tc>
        <w:tc>
          <w:tcPr>
            <w:tcW w:w="148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9"/>
              </w:rPr>
              <w:t>Vision</w:t>
            </w:r>
          </w:p>
        </w:tc>
        <w:tc>
          <w:tcPr>
            <w:tcW w:w="1340" w:type="dxa"/>
            <w:vAlign w:val="bottom"/>
            <w:shd w:val="clear" w:color="auto" w:fill="1D3060"/>
          </w:tcPr>
          <w:p>
            <w:pPr>
              <w:jc w:val="center"/>
              <w:ind w:left="10"/>
              <w:spacing w:after="0" w:line="202" w:lineRule="exact"/>
              <w:rPr>
                <w:sz w:val="20"/>
                <w:szCs w:val="20"/>
                <w:color w:val="auto"/>
              </w:rPr>
            </w:pPr>
            <w:r>
              <w:rPr>
                <w:rFonts w:ascii="Arial" w:cs="Arial" w:eastAsia="Arial" w:hAnsi="Arial"/>
                <w:sz w:val="18"/>
                <w:szCs w:val="18"/>
                <w:b w:val="1"/>
                <w:bCs w:val="1"/>
                <w:color w:val="FFFFFF"/>
                <w:w w:val="97"/>
              </w:rPr>
              <w:t>Stock</w:t>
            </w:r>
          </w:p>
        </w:tc>
        <w:tc>
          <w:tcPr>
            <w:tcW w:w="12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rPr>
              <w:t>Stock</w:t>
            </w:r>
          </w:p>
        </w:tc>
        <w:tc>
          <w:tcPr>
            <w:tcW w:w="1000" w:type="dxa"/>
            <w:vAlign w:val="bottom"/>
            <w:shd w:val="clear" w:color="auto" w:fill="1D3060"/>
          </w:tcPr>
          <w:p>
            <w:pPr>
              <w:jc w:val="center"/>
              <w:spacing w:after="0" w:line="202" w:lineRule="exact"/>
              <w:rPr>
                <w:sz w:val="20"/>
                <w:szCs w:val="20"/>
                <w:color w:val="auto"/>
              </w:rPr>
            </w:pPr>
            <w:r>
              <w:rPr>
                <w:rFonts w:ascii="Arial" w:cs="Arial" w:eastAsia="Arial" w:hAnsi="Arial"/>
                <w:sz w:val="18"/>
                <w:szCs w:val="18"/>
                <w:b w:val="1"/>
                <w:bCs w:val="1"/>
                <w:color w:val="FFFFFF"/>
                <w:w w:val="99"/>
              </w:rPr>
              <w:t>Amount</w:t>
            </w:r>
          </w:p>
        </w:tc>
      </w:tr>
      <w:tr>
        <w:trPr>
          <w:trHeight w:val="247"/>
        </w:trPr>
        <w:tc>
          <w:tcPr>
            <w:tcW w:w="4340" w:type="dxa"/>
            <w:vAlign w:val="bottom"/>
            <w:shd w:val="clear" w:color="auto" w:fill="1D3060"/>
          </w:tcPr>
          <w:p>
            <w:pPr>
              <w:spacing w:after="0"/>
              <w:rPr>
                <w:sz w:val="20"/>
                <w:szCs w:val="20"/>
                <w:color w:val="auto"/>
              </w:rPr>
            </w:pPr>
            <w:r>
              <w:rPr>
                <w:rFonts w:ascii="Arial" w:cs="Arial" w:eastAsia="Arial" w:hAnsi="Arial"/>
                <w:sz w:val="18"/>
                <w:szCs w:val="18"/>
                <w:b w:val="1"/>
                <w:bCs w:val="1"/>
                <w:color w:val="FFFFFF"/>
              </w:rPr>
              <w:t>  Name(1)</w:t>
            </w:r>
          </w:p>
        </w:tc>
        <w:tc>
          <w:tcPr>
            <w:tcW w:w="1660" w:type="dxa"/>
            <w:vAlign w:val="bottom"/>
            <w:shd w:val="clear" w:color="auto" w:fill="1D3060"/>
          </w:tcPr>
          <w:p>
            <w:pPr>
              <w:jc w:val="center"/>
              <w:ind w:left="70"/>
              <w:spacing w:after="0"/>
              <w:rPr>
                <w:sz w:val="20"/>
                <w:szCs w:val="20"/>
                <w:color w:val="auto"/>
              </w:rPr>
            </w:pPr>
            <w:r>
              <w:rPr>
                <w:rFonts w:ascii="Arial" w:cs="Arial" w:eastAsia="Arial" w:hAnsi="Arial"/>
                <w:sz w:val="18"/>
                <w:szCs w:val="18"/>
                <w:b w:val="1"/>
                <w:bCs w:val="1"/>
                <w:color w:val="FFFFFF"/>
                <w:w w:val="99"/>
              </w:rPr>
              <w:t>Benefits($)(2)</w:t>
            </w:r>
          </w:p>
        </w:tc>
        <w:tc>
          <w:tcPr>
            <w:tcW w:w="148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Benefits($)(3)</w:t>
            </w:r>
          </w:p>
        </w:tc>
        <w:tc>
          <w:tcPr>
            <w:tcW w:w="1340" w:type="dxa"/>
            <w:vAlign w:val="bottom"/>
            <w:shd w:val="clear" w:color="auto" w:fill="1D3060"/>
          </w:tcPr>
          <w:p>
            <w:pPr>
              <w:jc w:val="center"/>
              <w:ind w:left="10"/>
              <w:spacing w:after="0"/>
              <w:rPr>
                <w:sz w:val="20"/>
                <w:szCs w:val="20"/>
                <w:color w:val="auto"/>
              </w:rPr>
            </w:pPr>
            <w:r>
              <w:rPr>
                <w:rFonts w:ascii="Arial" w:cs="Arial" w:eastAsia="Arial" w:hAnsi="Arial"/>
                <w:sz w:val="18"/>
                <w:szCs w:val="18"/>
                <w:b w:val="1"/>
                <w:bCs w:val="1"/>
                <w:color w:val="FFFFFF"/>
                <w:w w:val="99"/>
              </w:rPr>
              <w:t>Options($)(4)</w:t>
            </w:r>
          </w:p>
        </w:tc>
        <w:tc>
          <w:tcPr>
            <w:tcW w:w="120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rPr>
              <w:t>Awards($)(5)</w:t>
            </w:r>
          </w:p>
        </w:tc>
        <w:tc>
          <w:tcPr>
            <w:tcW w:w="1000" w:type="dxa"/>
            <w:vAlign w:val="bottom"/>
            <w:shd w:val="clear" w:color="auto" w:fill="1D3060"/>
          </w:tcPr>
          <w:p>
            <w:pPr>
              <w:jc w:val="center"/>
              <w:spacing w:after="0"/>
              <w:rPr>
                <w:sz w:val="20"/>
                <w:szCs w:val="20"/>
                <w:color w:val="auto"/>
              </w:rPr>
            </w:pPr>
            <w:r>
              <w:rPr>
                <w:rFonts w:ascii="Arial" w:cs="Arial" w:eastAsia="Arial" w:hAnsi="Arial"/>
                <w:sz w:val="18"/>
                <w:szCs w:val="18"/>
                <w:b w:val="1"/>
                <w:bCs w:val="1"/>
                <w:color w:val="FFFFFF"/>
                <w:w w:val="99"/>
              </w:rPr>
              <w:t>($)</w:t>
            </w:r>
          </w:p>
        </w:tc>
      </w:tr>
      <w:tr>
        <w:trPr>
          <w:trHeight w:val="96"/>
        </w:trPr>
        <w:tc>
          <w:tcPr>
            <w:tcW w:w="4340" w:type="dxa"/>
            <w:vAlign w:val="bottom"/>
            <w:shd w:val="clear" w:color="auto" w:fill="1D3060"/>
          </w:tcPr>
          <w:p>
            <w:pPr>
              <w:spacing w:after="0"/>
              <w:rPr>
                <w:sz w:val="8"/>
                <w:szCs w:val="8"/>
                <w:color w:val="auto"/>
              </w:rPr>
            </w:pPr>
          </w:p>
        </w:tc>
        <w:tc>
          <w:tcPr>
            <w:tcW w:w="1660" w:type="dxa"/>
            <w:vAlign w:val="bottom"/>
            <w:shd w:val="clear" w:color="auto" w:fill="1D3060"/>
          </w:tcPr>
          <w:p>
            <w:pPr>
              <w:spacing w:after="0"/>
              <w:rPr>
                <w:sz w:val="8"/>
                <w:szCs w:val="8"/>
                <w:color w:val="auto"/>
              </w:rPr>
            </w:pPr>
          </w:p>
        </w:tc>
        <w:tc>
          <w:tcPr>
            <w:tcW w:w="1480" w:type="dxa"/>
            <w:vAlign w:val="bottom"/>
            <w:shd w:val="clear" w:color="auto" w:fill="1D3060"/>
          </w:tcPr>
          <w:p>
            <w:pPr>
              <w:spacing w:after="0"/>
              <w:rPr>
                <w:sz w:val="8"/>
                <w:szCs w:val="8"/>
                <w:color w:val="auto"/>
              </w:rPr>
            </w:pPr>
          </w:p>
        </w:tc>
        <w:tc>
          <w:tcPr>
            <w:tcW w:w="1340" w:type="dxa"/>
            <w:vAlign w:val="bottom"/>
            <w:shd w:val="clear" w:color="auto" w:fill="1D3060"/>
          </w:tcPr>
          <w:p>
            <w:pPr>
              <w:spacing w:after="0"/>
              <w:rPr>
                <w:sz w:val="8"/>
                <w:szCs w:val="8"/>
                <w:color w:val="auto"/>
              </w:rPr>
            </w:pPr>
          </w:p>
        </w:tc>
        <w:tc>
          <w:tcPr>
            <w:tcW w:w="1200" w:type="dxa"/>
            <w:vAlign w:val="bottom"/>
            <w:shd w:val="clear" w:color="auto" w:fill="1D3060"/>
          </w:tcPr>
          <w:p>
            <w:pPr>
              <w:spacing w:after="0"/>
              <w:rPr>
                <w:sz w:val="8"/>
                <w:szCs w:val="8"/>
                <w:color w:val="auto"/>
              </w:rPr>
            </w:pPr>
          </w:p>
        </w:tc>
        <w:tc>
          <w:tcPr>
            <w:tcW w:w="1000" w:type="dxa"/>
            <w:vAlign w:val="bottom"/>
            <w:shd w:val="clear" w:color="auto" w:fill="1D3060"/>
          </w:tcPr>
          <w:p>
            <w:pPr>
              <w:spacing w:after="0"/>
              <w:rPr>
                <w:sz w:val="8"/>
                <w:szCs w:val="8"/>
                <w:color w:val="auto"/>
              </w:rPr>
            </w:pPr>
          </w:p>
        </w:tc>
      </w:tr>
      <w:tr>
        <w:trPr>
          <w:trHeight w:val="290"/>
        </w:trPr>
        <w:tc>
          <w:tcPr>
            <w:tcW w:w="434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8"/>
                <w:szCs w:val="18"/>
                <w:color w:val="auto"/>
              </w:rPr>
              <w:t>  Yvonne L. Greenstreet, MBChB</w:t>
            </w:r>
          </w:p>
        </w:tc>
        <w:tc>
          <w:tcPr>
            <w:tcW w:w="1660" w:type="dxa"/>
            <w:vAlign w:val="bottom"/>
            <w:tcBorders>
              <w:bottom w:val="single" w:sz="8" w:color="D7E8F5"/>
            </w:tcBorders>
            <w:shd w:val="clear" w:color="auto" w:fill="D7E8F5"/>
          </w:tcPr>
          <w:p>
            <w:pPr>
              <w:jc w:val="center"/>
              <w:ind w:left="50"/>
              <w:spacing w:after="0"/>
              <w:rPr>
                <w:sz w:val="20"/>
                <w:szCs w:val="20"/>
                <w:color w:val="auto"/>
              </w:rPr>
            </w:pPr>
            <w:r>
              <w:rPr>
                <w:rFonts w:ascii="Arial" w:cs="Arial" w:eastAsia="Arial" w:hAnsi="Arial"/>
                <w:sz w:val="18"/>
                <w:szCs w:val="18"/>
                <w:color w:val="auto"/>
                <w:w w:val="99"/>
              </w:rPr>
              <w:t>3,150,000</w:t>
            </w:r>
          </w:p>
        </w:tc>
        <w:tc>
          <w:tcPr>
            <w:tcW w:w="148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8"/>
                <w:szCs w:val="18"/>
                <w:color w:val="auto"/>
                <w:w w:val="98"/>
              </w:rPr>
              <w:t>42,640</w:t>
            </w:r>
          </w:p>
        </w:tc>
        <w:tc>
          <w:tcPr>
            <w:tcW w:w="1340" w:type="dxa"/>
            <w:vAlign w:val="bottom"/>
            <w:tcBorders>
              <w:bottom w:val="single" w:sz="8" w:color="D7E8F5"/>
            </w:tcBorders>
            <w:shd w:val="clear" w:color="auto" w:fill="D7E8F5"/>
          </w:tcPr>
          <w:p>
            <w:pPr>
              <w:ind w:left="320"/>
              <w:spacing w:after="0"/>
              <w:rPr>
                <w:sz w:val="20"/>
                <w:szCs w:val="20"/>
                <w:color w:val="auto"/>
              </w:rPr>
            </w:pPr>
            <w:r>
              <w:rPr>
                <w:rFonts w:ascii="Arial" w:cs="Arial" w:eastAsia="Arial" w:hAnsi="Arial"/>
                <w:sz w:val="18"/>
                <w:szCs w:val="18"/>
                <w:color w:val="auto"/>
              </w:rPr>
              <w:t>1,931,912</w:t>
            </w:r>
          </w:p>
        </w:tc>
        <w:tc>
          <w:tcPr>
            <w:tcW w:w="120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8"/>
                <w:szCs w:val="18"/>
                <w:color w:val="auto"/>
                <w:w w:val="99"/>
              </w:rPr>
              <w:t>18,167,298</w:t>
            </w:r>
          </w:p>
        </w:tc>
        <w:tc>
          <w:tcPr>
            <w:tcW w:w="100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8"/>
                <w:szCs w:val="18"/>
                <w:color w:val="auto"/>
                <w:w w:val="99"/>
              </w:rPr>
              <w:t>23,291,850</w:t>
            </w:r>
          </w:p>
        </w:tc>
      </w:tr>
      <w:tr>
        <w:trPr>
          <w:trHeight w:val="274"/>
        </w:trPr>
        <w:tc>
          <w:tcPr>
            <w:tcW w:w="4340" w:type="dxa"/>
            <w:vAlign w:val="bottom"/>
          </w:tcPr>
          <w:p>
            <w:pPr>
              <w:spacing w:after="0"/>
              <w:rPr>
                <w:sz w:val="20"/>
                <w:szCs w:val="20"/>
                <w:color w:val="auto"/>
              </w:rPr>
            </w:pPr>
            <w:r>
              <w:rPr>
                <w:rFonts w:ascii="Arial" w:cs="Arial" w:eastAsia="Arial" w:hAnsi="Arial"/>
                <w:sz w:val="18"/>
                <w:szCs w:val="18"/>
                <w:color w:val="auto"/>
              </w:rPr>
              <w:t>  Jeffrey V. Poulton</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1,534,500</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42,640</w:t>
            </w:r>
          </w:p>
        </w:tc>
        <w:tc>
          <w:tcPr>
            <w:tcW w:w="1340" w:type="dxa"/>
            <w:vAlign w:val="bottom"/>
          </w:tcPr>
          <w:p>
            <w:pPr>
              <w:ind w:left="320"/>
              <w:spacing w:after="0"/>
              <w:rPr>
                <w:sz w:val="20"/>
                <w:szCs w:val="20"/>
                <w:color w:val="auto"/>
              </w:rPr>
            </w:pPr>
            <w:r>
              <w:rPr>
                <w:rFonts w:ascii="Arial" w:cs="Arial" w:eastAsia="Arial" w:hAnsi="Arial"/>
                <w:sz w:val="18"/>
                <w:szCs w:val="18"/>
                <w:color w:val="auto"/>
              </w:rPr>
              <w:t>   872,980</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  5,731,581</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   8,181,701</w:t>
            </w:r>
          </w:p>
        </w:tc>
      </w:tr>
      <w:tr>
        <w:trPr>
          <w:trHeight w:val="36"/>
        </w:trPr>
        <w:tc>
          <w:tcPr>
            <w:tcW w:w="4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0"/>
        </w:trPr>
        <w:tc>
          <w:tcPr>
            <w:tcW w:w="434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8"/>
                <w:szCs w:val="18"/>
                <w:color w:val="auto"/>
              </w:rPr>
              <w:t>  Pushkal Garg, M.D.</w:t>
            </w:r>
          </w:p>
        </w:tc>
        <w:tc>
          <w:tcPr>
            <w:tcW w:w="1660" w:type="dxa"/>
            <w:vAlign w:val="bottom"/>
            <w:tcBorders>
              <w:bottom w:val="single" w:sz="8" w:color="D7E8F5"/>
            </w:tcBorders>
            <w:shd w:val="clear" w:color="auto" w:fill="D7E8F5"/>
          </w:tcPr>
          <w:p>
            <w:pPr>
              <w:jc w:val="center"/>
              <w:ind w:left="50"/>
              <w:spacing w:after="0"/>
              <w:rPr>
                <w:sz w:val="20"/>
                <w:szCs w:val="20"/>
                <w:color w:val="auto"/>
              </w:rPr>
            </w:pPr>
            <w:r>
              <w:rPr>
                <w:rFonts w:ascii="Arial" w:cs="Arial" w:eastAsia="Arial" w:hAnsi="Arial"/>
                <w:sz w:val="18"/>
                <w:szCs w:val="18"/>
                <w:color w:val="auto"/>
                <w:w w:val="99"/>
              </w:rPr>
              <w:t>1,541,480</w:t>
            </w:r>
          </w:p>
        </w:tc>
        <w:tc>
          <w:tcPr>
            <w:tcW w:w="148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8"/>
                <w:szCs w:val="18"/>
                <w:color w:val="auto"/>
                <w:w w:val="98"/>
              </w:rPr>
              <w:t>42,640</w:t>
            </w:r>
          </w:p>
        </w:tc>
        <w:tc>
          <w:tcPr>
            <w:tcW w:w="1340" w:type="dxa"/>
            <w:vAlign w:val="bottom"/>
            <w:tcBorders>
              <w:bottom w:val="single" w:sz="8" w:color="D7E8F5"/>
            </w:tcBorders>
            <w:shd w:val="clear" w:color="auto" w:fill="D7E8F5"/>
          </w:tcPr>
          <w:p>
            <w:pPr>
              <w:ind w:left="320"/>
              <w:spacing w:after="0"/>
              <w:rPr>
                <w:sz w:val="20"/>
                <w:szCs w:val="20"/>
                <w:color w:val="auto"/>
              </w:rPr>
            </w:pPr>
            <w:r>
              <w:rPr>
                <w:rFonts w:ascii="Arial" w:cs="Arial" w:eastAsia="Arial" w:hAnsi="Arial"/>
                <w:sz w:val="18"/>
                <w:szCs w:val="18"/>
                <w:color w:val="auto"/>
              </w:rPr>
              <w:t>1,167,856</w:t>
            </w:r>
          </w:p>
        </w:tc>
        <w:tc>
          <w:tcPr>
            <w:tcW w:w="120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8"/>
                <w:szCs w:val="18"/>
                <w:color w:val="auto"/>
                <w:w w:val="94"/>
              </w:rPr>
              <w:t>  6,120,909</w:t>
            </w:r>
          </w:p>
        </w:tc>
        <w:tc>
          <w:tcPr>
            <w:tcW w:w="100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8"/>
                <w:szCs w:val="18"/>
                <w:color w:val="auto"/>
                <w:w w:val="93"/>
              </w:rPr>
              <w:t>   8,872,885</w:t>
            </w:r>
          </w:p>
        </w:tc>
      </w:tr>
      <w:tr>
        <w:trPr>
          <w:trHeight w:val="274"/>
        </w:trPr>
        <w:tc>
          <w:tcPr>
            <w:tcW w:w="4340" w:type="dxa"/>
            <w:vAlign w:val="bottom"/>
          </w:tcPr>
          <w:p>
            <w:pPr>
              <w:spacing w:after="0"/>
              <w:rPr>
                <w:sz w:val="20"/>
                <w:szCs w:val="20"/>
                <w:color w:val="auto"/>
              </w:rPr>
            </w:pPr>
            <w:r>
              <w:rPr>
                <w:rFonts w:ascii="Arial" w:cs="Arial" w:eastAsia="Arial" w:hAnsi="Arial"/>
                <w:sz w:val="18"/>
                <w:szCs w:val="18"/>
                <w:color w:val="auto"/>
              </w:rPr>
              <w:t>  Tolga Tanguler</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1,418,250</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42,640</w:t>
            </w:r>
          </w:p>
        </w:tc>
        <w:tc>
          <w:tcPr>
            <w:tcW w:w="1340" w:type="dxa"/>
            <w:vAlign w:val="bottom"/>
          </w:tcPr>
          <w:p>
            <w:pPr>
              <w:ind w:left="320"/>
              <w:spacing w:after="0"/>
              <w:rPr>
                <w:sz w:val="20"/>
                <w:szCs w:val="20"/>
                <w:color w:val="auto"/>
              </w:rPr>
            </w:pPr>
            <w:r>
              <w:rPr>
                <w:rFonts w:ascii="Arial" w:cs="Arial" w:eastAsia="Arial" w:hAnsi="Arial"/>
                <w:sz w:val="18"/>
                <w:szCs w:val="18"/>
                <w:color w:val="auto"/>
              </w:rPr>
              <w:t>1,213,493</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  4,126,034</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   6,800,417</w:t>
            </w:r>
          </w:p>
        </w:tc>
      </w:tr>
      <w:tr>
        <w:trPr>
          <w:trHeight w:val="37"/>
        </w:trPr>
        <w:tc>
          <w:tcPr>
            <w:tcW w:w="4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0"/>
        </w:trPr>
        <w:tc>
          <w:tcPr>
            <w:tcW w:w="434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8"/>
                <w:szCs w:val="18"/>
                <w:color w:val="auto"/>
              </w:rPr>
              <w:t>  Indrani L. Franchini, J.D.(6)</w:t>
            </w:r>
          </w:p>
        </w:tc>
        <w:tc>
          <w:tcPr>
            <w:tcW w:w="1660" w:type="dxa"/>
            <w:vAlign w:val="bottom"/>
            <w:tcBorders>
              <w:bottom w:val="single" w:sz="8" w:color="D7E8F5"/>
            </w:tcBorders>
            <w:shd w:val="clear" w:color="auto" w:fill="D7E8F5"/>
          </w:tcPr>
          <w:p>
            <w:pPr>
              <w:jc w:val="center"/>
              <w:ind w:left="50"/>
              <w:spacing w:after="0"/>
              <w:rPr>
                <w:sz w:val="20"/>
                <w:szCs w:val="20"/>
                <w:color w:val="auto"/>
              </w:rPr>
            </w:pPr>
            <w:r>
              <w:rPr>
                <w:rFonts w:ascii="Arial" w:cs="Arial" w:eastAsia="Arial" w:hAnsi="Arial"/>
                <w:sz w:val="18"/>
                <w:szCs w:val="18"/>
                <w:color w:val="auto"/>
                <w:w w:val="99"/>
              </w:rPr>
              <w:t>1,388,030</w:t>
            </w:r>
          </w:p>
        </w:tc>
        <w:tc>
          <w:tcPr>
            <w:tcW w:w="148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8"/>
                <w:szCs w:val="18"/>
                <w:color w:val="auto"/>
                <w:w w:val="98"/>
              </w:rPr>
              <w:t>42,640</w:t>
            </w:r>
          </w:p>
        </w:tc>
        <w:tc>
          <w:tcPr>
            <w:tcW w:w="1340" w:type="dxa"/>
            <w:vAlign w:val="bottom"/>
            <w:tcBorders>
              <w:bottom w:val="single" w:sz="8" w:color="D7E8F5"/>
            </w:tcBorders>
            <w:shd w:val="clear" w:color="auto" w:fill="D7E8F5"/>
          </w:tcPr>
          <w:p>
            <w:pPr>
              <w:ind w:left="320"/>
              <w:spacing w:after="0"/>
              <w:rPr>
                <w:sz w:val="20"/>
                <w:szCs w:val="20"/>
                <w:color w:val="auto"/>
              </w:rPr>
            </w:pPr>
            <w:r>
              <w:rPr>
                <w:rFonts w:ascii="Arial" w:cs="Arial" w:eastAsia="Arial" w:hAnsi="Arial"/>
                <w:sz w:val="18"/>
                <w:szCs w:val="18"/>
                <w:color w:val="auto"/>
              </w:rPr>
              <w:t>   728,904</w:t>
            </w:r>
          </w:p>
        </w:tc>
        <w:tc>
          <w:tcPr>
            <w:tcW w:w="120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8"/>
                <w:szCs w:val="18"/>
                <w:color w:val="auto"/>
                <w:w w:val="94"/>
              </w:rPr>
              <w:t>  3,492,276</w:t>
            </w:r>
          </w:p>
        </w:tc>
        <w:tc>
          <w:tcPr>
            <w:tcW w:w="1000" w:type="dxa"/>
            <w:vAlign w:val="bottom"/>
            <w:tcBorders>
              <w:bottom w:val="single" w:sz="8" w:color="D7E8F5"/>
            </w:tcBorders>
            <w:shd w:val="clear" w:color="auto" w:fill="D7E8F5"/>
          </w:tcPr>
          <w:p>
            <w:pPr>
              <w:jc w:val="center"/>
              <w:spacing w:after="0"/>
              <w:rPr>
                <w:sz w:val="20"/>
                <w:szCs w:val="20"/>
                <w:color w:val="auto"/>
              </w:rPr>
            </w:pPr>
            <w:r>
              <w:rPr>
                <w:rFonts w:ascii="Arial" w:cs="Arial" w:eastAsia="Arial" w:hAnsi="Arial"/>
                <w:sz w:val="18"/>
                <w:szCs w:val="18"/>
                <w:color w:val="auto"/>
                <w:w w:val="93"/>
              </w:rPr>
              <w:t>   5,651,850</w:t>
            </w:r>
          </w:p>
        </w:tc>
      </w:tr>
      <w:tr>
        <w:trPr>
          <w:trHeight w:val="274"/>
        </w:trPr>
        <w:tc>
          <w:tcPr>
            <w:tcW w:w="4340" w:type="dxa"/>
            <w:vAlign w:val="bottom"/>
          </w:tcPr>
          <w:p>
            <w:pPr>
              <w:spacing w:after="0"/>
              <w:rPr>
                <w:sz w:val="20"/>
                <w:szCs w:val="20"/>
                <w:color w:val="auto"/>
              </w:rPr>
            </w:pPr>
            <w:r>
              <w:rPr>
                <w:rFonts w:ascii="Arial" w:cs="Arial" w:eastAsia="Arial" w:hAnsi="Arial"/>
                <w:sz w:val="18"/>
                <w:szCs w:val="18"/>
                <w:color w:val="auto"/>
              </w:rPr>
              <w:t>  Akshay K. Vaishnaw, M.D., Ph.D.(7)</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1,209,010</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42,470</w:t>
            </w:r>
          </w:p>
        </w:tc>
        <w:tc>
          <w:tcPr>
            <w:tcW w:w="1340" w:type="dxa"/>
            <w:vAlign w:val="bottom"/>
          </w:tcPr>
          <w:p>
            <w:pPr>
              <w:ind w:left="320"/>
              <w:spacing w:after="0"/>
              <w:rPr>
                <w:sz w:val="20"/>
                <w:szCs w:val="20"/>
                <w:color w:val="auto"/>
              </w:rPr>
            </w:pPr>
            <w:r>
              <w:rPr>
                <w:rFonts w:ascii="Arial" w:cs="Arial" w:eastAsia="Arial" w:hAnsi="Arial"/>
                <w:sz w:val="18"/>
                <w:szCs w:val="18"/>
                <w:color w:val="auto"/>
              </w:rPr>
              <w:t>1,483,708</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  6,835,634</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   9,570,822</w:t>
            </w:r>
          </w:p>
        </w:tc>
      </w:tr>
      <w:tr>
        <w:trPr>
          <w:trHeight w:val="37"/>
        </w:trPr>
        <w:tc>
          <w:tcPr>
            <w:tcW w:w="4340" w:type="dxa"/>
            <w:vAlign w:val="bottom"/>
            <w:tcBorders>
              <w:bottom w:val="single" w:sz="8" w:color="2275B5"/>
            </w:tcBorders>
          </w:tcPr>
          <w:p>
            <w:pPr>
              <w:spacing w:after="0"/>
              <w:rPr>
                <w:sz w:val="3"/>
                <w:szCs w:val="3"/>
                <w:color w:val="auto"/>
              </w:rPr>
            </w:pPr>
          </w:p>
        </w:tc>
        <w:tc>
          <w:tcPr>
            <w:tcW w:w="1660" w:type="dxa"/>
            <w:vAlign w:val="bottom"/>
            <w:tcBorders>
              <w:bottom w:val="single" w:sz="8" w:color="2275B5"/>
            </w:tcBorders>
          </w:tcPr>
          <w:p>
            <w:pPr>
              <w:spacing w:after="0"/>
              <w:rPr>
                <w:sz w:val="3"/>
                <w:szCs w:val="3"/>
                <w:color w:val="auto"/>
              </w:rPr>
            </w:pPr>
          </w:p>
        </w:tc>
        <w:tc>
          <w:tcPr>
            <w:tcW w:w="1480" w:type="dxa"/>
            <w:vAlign w:val="bottom"/>
            <w:tcBorders>
              <w:bottom w:val="single" w:sz="8" w:color="2275B5"/>
            </w:tcBorders>
          </w:tcPr>
          <w:p>
            <w:pPr>
              <w:spacing w:after="0"/>
              <w:rPr>
                <w:sz w:val="3"/>
                <w:szCs w:val="3"/>
                <w:color w:val="auto"/>
              </w:rPr>
            </w:pPr>
          </w:p>
        </w:tc>
        <w:tc>
          <w:tcPr>
            <w:tcW w:w="1340" w:type="dxa"/>
            <w:vAlign w:val="bottom"/>
            <w:tcBorders>
              <w:bottom w:val="single" w:sz="8" w:color="2275B5"/>
            </w:tcBorders>
          </w:tcPr>
          <w:p>
            <w:pPr>
              <w:spacing w:after="0"/>
              <w:rPr>
                <w:sz w:val="3"/>
                <w:szCs w:val="3"/>
                <w:color w:val="auto"/>
              </w:rPr>
            </w:pPr>
          </w:p>
        </w:tc>
        <w:tc>
          <w:tcPr>
            <w:tcW w:w="1200" w:type="dxa"/>
            <w:vAlign w:val="bottom"/>
            <w:tcBorders>
              <w:bottom w:val="single" w:sz="8" w:color="2275B5"/>
            </w:tcBorders>
          </w:tcPr>
          <w:p>
            <w:pPr>
              <w:spacing w:after="0"/>
              <w:rPr>
                <w:sz w:val="3"/>
                <w:szCs w:val="3"/>
                <w:color w:val="auto"/>
              </w:rPr>
            </w:pPr>
          </w:p>
        </w:tc>
        <w:tc>
          <w:tcPr>
            <w:tcW w:w="1000" w:type="dxa"/>
            <w:vAlign w:val="bottom"/>
            <w:tcBorders>
              <w:bottom w:val="single" w:sz="8" w:color="2275B5"/>
            </w:tcBorders>
          </w:tcPr>
          <w:p>
            <w:pPr>
              <w:spacing w:after="0"/>
              <w:rPr>
                <w:sz w:val="3"/>
                <w:szCs w:val="3"/>
                <w:color w:val="auto"/>
              </w:rPr>
            </w:pPr>
          </w:p>
        </w:tc>
      </w:tr>
    </w:tbl>
    <w:p>
      <w:pPr>
        <w:spacing w:after="0" w:line="234" w:lineRule="exact"/>
        <w:rPr>
          <w:sz w:val="20"/>
          <w:szCs w:val="20"/>
          <w:color w:val="auto"/>
        </w:rPr>
      </w:pPr>
    </w:p>
    <w:p>
      <w:pPr>
        <w:ind w:left="880" w:right="380" w:hanging="332"/>
        <w:spacing w:after="0" w:line="285"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have entered into an individual CIC agreement with each of our NEOs, with the exception of Dr. Greenstreet with whom we entered into an employment agreement in December 2021 that includes potential payments and benefits payable upon termination or upon a 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8"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AA0D4"/>
        </w:rPr>
        <w:t>Page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50546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880" w:hanging="332"/>
        <w:spacing w:after="0"/>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 represents 150% of the sum of the NEO’s (i) base salary for 2023 and (ii) target bonus for 2023.</w:t>
      </w:r>
    </w:p>
    <w:p>
      <w:pPr>
        <w:spacing w:after="0" w:line="244" w:lineRule="exact"/>
        <w:rPr>
          <w:rFonts w:ascii="Arial" w:cs="Arial" w:eastAsia="Arial" w:hAnsi="Arial"/>
          <w:sz w:val="14"/>
          <w:szCs w:val="14"/>
          <w:color w:val="auto"/>
        </w:rPr>
      </w:pPr>
    </w:p>
    <w:p>
      <w:pPr>
        <w:ind w:left="880" w:right="320" w:hanging="332"/>
        <w:spacing w:after="0" w:line="263"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 is calculated as the monthly contribution we would pay to provide the executive with medical, dental and vision benefits if he or she remained employed based on rates as of January 2024 multiplied by 18 months, or in the case of our CEO, 24 months, based on each NEO’s participation status as of December 31, 2023.</w:t>
      </w:r>
    </w:p>
    <w:p>
      <w:pPr>
        <w:spacing w:after="0" w:line="199" w:lineRule="exact"/>
        <w:rPr>
          <w:rFonts w:ascii="Arial" w:cs="Arial" w:eastAsia="Arial" w:hAnsi="Arial"/>
          <w:sz w:val="14"/>
          <w:szCs w:val="14"/>
          <w:color w:val="auto"/>
        </w:rPr>
      </w:pPr>
    </w:p>
    <w:p>
      <w:pPr>
        <w:ind w:left="880" w:right="500" w:hanging="332"/>
        <w:spacing w:after="0" w:line="285"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value is calculated based on the number of stock options unvested as of December 31, 2023 multiplied by $191.41 per share (the closing price of our common stock on the Nasdaq Global Select Market on the last trading day of 2023) less the respective exercise price per share.</w:t>
      </w:r>
    </w:p>
    <w:p>
      <w:pPr>
        <w:spacing w:after="0" w:line="184" w:lineRule="exact"/>
        <w:rPr>
          <w:rFonts w:ascii="Arial" w:cs="Arial" w:eastAsia="Arial" w:hAnsi="Arial"/>
          <w:sz w:val="14"/>
          <w:szCs w:val="14"/>
          <w:color w:val="auto"/>
        </w:rPr>
      </w:pPr>
    </w:p>
    <w:p>
      <w:pPr>
        <w:ind w:left="880" w:right="400" w:hanging="332"/>
        <w:spacing w:after="0" w:line="285"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value is calculated based on the number of unvested PSUs or RSUs as of December 31, 2023 multiplied by $191.41 per share (the closing price of our common stock on the Nasdaq Global Select Market on the last trading day of 2023).</w:t>
      </w:r>
    </w:p>
    <w:p>
      <w:pPr>
        <w:spacing w:after="0" w:line="184" w:lineRule="exact"/>
        <w:rPr>
          <w:rFonts w:ascii="Arial" w:cs="Arial" w:eastAsia="Arial" w:hAnsi="Arial"/>
          <w:sz w:val="14"/>
          <w:szCs w:val="14"/>
          <w:color w:val="auto"/>
        </w:rPr>
      </w:pPr>
    </w:p>
    <w:p>
      <w:pPr>
        <w:ind w:left="880" w:right="20" w:hanging="332"/>
        <w:spacing w:after="0" w:line="253"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Ms. Franchini’s employment with us terminated effective March 1, 2024. Under the terms of the letter agreement that we entered into with Ms. Franchini in connection with her separation from employment, as described above under the heading “Employment Agreements—Franchini Letter Agreement,” in the event of a CIC during Ms. Franchini’s consulting period that results in the acceleration of vesting of unvested equity awards for our active employees, Ms. Franchini’s outstanding equity awards will be treated in the same manner. Ms. Franchini would not otherwise be entitled to payments or other benefits in connection with a CIC.</w:t>
      </w:r>
    </w:p>
    <w:p>
      <w:pPr>
        <w:spacing w:after="0" w:line="374" w:lineRule="exact"/>
        <w:rPr>
          <w:rFonts w:ascii="Arial" w:cs="Arial" w:eastAsia="Arial" w:hAnsi="Arial"/>
          <w:sz w:val="14"/>
          <w:szCs w:val="14"/>
          <w:color w:val="auto"/>
        </w:rPr>
      </w:pPr>
    </w:p>
    <w:p>
      <w:pPr>
        <w:ind w:left="880" w:right="560" w:hanging="332"/>
        <w:spacing w:after="0" w:line="285"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Dr. Vaishnaw ceased serving as an executive officer effective October 2, 2023 when he transitioned from the role of President to a part-time role as Chief Innovation Officer.</w:t>
      </w:r>
    </w:p>
    <w:p>
      <w:pPr>
        <w:spacing w:after="0" w:line="145" w:lineRule="exact"/>
        <w:rPr>
          <w:sz w:val="20"/>
          <w:szCs w:val="20"/>
          <w:color w:val="auto"/>
        </w:rPr>
      </w:pPr>
    </w:p>
    <w:p>
      <w:pPr>
        <w:ind w:left="120" w:right="20" w:firstLine="771"/>
        <w:spacing w:after="0" w:line="233" w:lineRule="auto"/>
        <w:rPr>
          <w:sz w:val="20"/>
          <w:szCs w:val="20"/>
          <w:color w:val="auto"/>
        </w:rPr>
      </w:pPr>
      <w:r>
        <w:rPr>
          <w:rFonts w:ascii="Arial" w:cs="Arial" w:eastAsia="Arial" w:hAnsi="Arial"/>
          <w:sz w:val="20"/>
          <w:szCs w:val="20"/>
          <w:color w:val="auto"/>
        </w:rPr>
        <w:t>The actual amount an executive would realize upon termination related to a CIC would likely differ from the amounts above, including adjustments to base salary, adjustments to target bonus, stock price fluctuations and the vesting and grant of additional stock-based awards, as well as the exercise and sale of any stock-based award prior to any such termination. In the event an executive would be subject to “golden parachute taxes” under the Code, payments and benefits in connection with a CIC will be reduced to the extent necessary to avoid such taxes, but only if such reduction provided a greater after-tax benefit to an executive.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1D3060"/>
        </w:rPr>
        <w:t>CEO Pay Ratio</w:t>
      </w:r>
    </w:p>
    <w:p>
      <w:pPr>
        <w:spacing w:after="0" w:line="204" w:lineRule="exact"/>
        <w:rPr>
          <w:sz w:val="20"/>
          <w:szCs w:val="20"/>
          <w:color w:val="auto"/>
        </w:rPr>
      </w:pPr>
    </w:p>
    <w:p>
      <w:pPr>
        <w:ind w:left="120" w:right="40" w:firstLine="771"/>
        <w:spacing w:after="0" w:line="237" w:lineRule="auto"/>
        <w:rPr>
          <w:sz w:val="20"/>
          <w:szCs w:val="20"/>
          <w:color w:val="auto"/>
        </w:rPr>
      </w:pPr>
      <w:r>
        <w:rPr>
          <w:rFonts w:ascii="Arial" w:cs="Arial" w:eastAsia="Arial" w:hAnsi="Arial"/>
          <w:sz w:val="20"/>
          <w:szCs w:val="20"/>
          <w:color w:val="auto"/>
        </w:rPr>
        <w:t>In connection with Item 402(u) of Regulation S-K adopted pursuant to Section 953(b) of the Dodd-Frank Wall Street Reform and Consumer Protection Act, we are required to calculate and disclose the median annual compensation of all of our employees (excluding our CEO during 2023, Dr. Greenstreet), the annual compensation of Dr. Greenstreet, and the ratio of these two amounts.</w:t>
      </w:r>
    </w:p>
    <w:p>
      <w:pPr>
        <w:spacing w:after="0" w:line="172" w:lineRule="exact"/>
        <w:rPr>
          <w:sz w:val="20"/>
          <w:szCs w:val="20"/>
          <w:color w:val="auto"/>
        </w:rPr>
      </w:pPr>
    </w:p>
    <w:p>
      <w:pPr>
        <w:ind w:left="120" w:right="100" w:firstLine="771"/>
        <w:spacing w:after="0" w:line="230" w:lineRule="auto"/>
        <w:rPr>
          <w:sz w:val="20"/>
          <w:szCs w:val="20"/>
          <w:color w:val="auto"/>
        </w:rPr>
      </w:pPr>
      <w:r>
        <w:rPr>
          <w:rFonts w:ascii="Arial" w:cs="Arial" w:eastAsia="Arial" w:hAnsi="Arial"/>
          <w:sz w:val="20"/>
          <w:szCs w:val="20"/>
          <w:color w:val="auto"/>
        </w:rPr>
        <w:t>Based on a significant number of new hires in 2023, we did not elect to use the same median employee as the prior year. Our median employee was identified using the entire population of our employees as of October 1, 2023 based on a consistently applied compensation measure, or CACM, that reasonably reflects the annual compensation of employees. The CACM selected by us for our disclosure included annual base salary for salaried employees (or wages based on an annual work schedule for non-permanent employees), overtime for the year-to-date period ended October 1, 2023, target bonus opportunity for 2023 and the grant-date fair value for stock-based awards (calculated in accordance with requirements for the Summary Compensation Table). In 2023, the target bonus opportunity for our non-field-based employees was based on corporate and individual performance under our AIP and the target bonus opportunity for field-based employees consisted of sales-related metrics in connection with the continued launch and commercialization of our commercial products during 2023 under our field-based incentive plan.</w:t>
      </w:r>
    </w:p>
    <w:p>
      <w:pPr>
        <w:spacing w:after="0" w:line="172" w:lineRule="exact"/>
        <w:rPr>
          <w:sz w:val="20"/>
          <w:szCs w:val="20"/>
          <w:color w:val="auto"/>
        </w:rPr>
      </w:pPr>
    </w:p>
    <w:p>
      <w:pPr>
        <w:ind w:left="120" w:right="420" w:firstLine="771"/>
        <w:spacing w:after="0" w:line="257" w:lineRule="auto"/>
        <w:rPr>
          <w:sz w:val="20"/>
          <w:szCs w:val="20"/>
          <w:color w:val="auto"/>
        </w:rPr>
      </w:pPr>
      <w:r>
        <w:rPr>
          <w:rFonts w:ascii="Arial" w:cs="Arial" w:eastAsia="Arial" w:hAnsi="Arial"/>
          <w:sz w:val="20"/>
          <w:szCs w:val="20"/>
          <w:color w:val="auto"/>
        </w:rPr>
        <w:t>Based on the CACM methodology described above, we identified the median employee. We calculated the 2023 compensation for our median employee of $255,415 in the same manner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240"/>
        <w:spacing w:after="0" w:line="237" w:lineRule="auto"/>
        <w:rPr>
          <w:sz w:val="20"/>
          <w:szCs w:val="20"/>
          <w:color w:val="auto"/>
        </w:rPr>
      </w:pPr>
      <w:r>
        <w:rPr>
          <w:rFonts w:ascii="Arial" w:cs="Arial" w:eastAsia="Arial" w:hAnsi="Arial"/>
          <w:sz w:val="20"/>
          <w:szCs w:val="20"/>
          <w:color w:val="auto"/>
        </w:rPr>
        <w:t>determine the annual total compensation of our NEOs for purposes of the Summary Compensation Table. Dr. Greenstreet’s 2023 compensation as disclosed in the Summary Compensation Table is $8,895,670. As a result, our CEO to median employee pay ratio for 2023 is 35:1, representing an increase from the ratio for 2022 as a result of the increase in equity granted to the CEO in 2023.</w:t>
      </w:r>
    </w:p>
    <w:p>
      <w:pPr>
        <w:spacing w:after="0" w:line="172" w:lineRule="exact"/>
        <w:rPr>
          <w:sz w:val="20"/>
          <w:szCs w:val="20"/>
          <w:color w:val="auto"/>
        </w:rPr>
      </w:pPr>
    </w:p>
    <w:p>
      <w:pPr>
        <w:ind w:left="120" w:right="160" w:firstLine="771"/>
        <w:spacing w:after="0" w:line="234" w:lineRule="auto"/>
        <w:rPr>
          <w:sz w:val="20"/>
          <w:szCs w:val="20"/>
          <w:color w:val="auto"/>
        </w:rPr>
      </w:pPr>
      <w:r>
        <w:rPr>
          <w:rFonts w:ascii="Arial" w:cs="Arial" w:eastAsia="Arial" w:hAnsi="Arial"/>
          <w:sz w:val="20"/>
          <w:szCs w:val="20"/>
          <w:color w:val="auto"/>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PC&amp;C committee for compensation-related decisions.</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1D3060"/>
        </w:rPr>
        <w:t>Pay Versus Performance</w:t>
      </w:r>
    </w:p>
    <w:p>
      <w:pPr>
        <w:spacing w:after="0" w:line="204" w:lineRule="exact"/>
        <w:rPr>
          <w:sz w:val="20"/>
          <w:szCs w:val="20"/>
          <w:color w:val="auto"/>
        </w:rPr>
      </w:pPr>
    </w:p>
    <w:p>
      <w:pPr>
        <w:ind w:left="120" w:right="200" w:firstLine="771"/>
        <w:spacing w:after="0" w:line="248" w:lineRule="auto"/>
        <w:rPr>
          <w:sz w:val="20"/>
          <w:szCs w:val="20"/>
          <w:color w:val="auto"/>
        </w:rPr>
      </w:pPr>
      <w:r>
        <w:rPr>
          <w:rFonts w:ascii="Arial" w:cs="Arial" w:eastAsia="Arial" w:hAnsi="Arial"/>
          <w:sz w:val="19"/>
          <w:szCs w:val="19"/>
          <w:color w:val="auto"/>
        </w:rPr>
        <w:t>The following section has been prepared in accordance with the SEC’s pay versus performance, or PvP, disclosure rules. Under the PvP rules, the SEC has developed a definition of pay, referred to as Compensation Actually Paid, or CAP, which we are required to calculate and then compare to certain specified performance measures. Under the PvP rules, CAP for the principal executive officer, or PEO, and the average non-PEO NEOs is calculated by starting with the Summary Compensation Table values for the relevant years and then making the following adjustments (as are applicable):</w:t>
      </w:r>
    </w:p>
    <w:p>
      <w:pPr>
        <w:spacing w:after="0" w:line="73" w:lineRule="exact"/>
        <w:rPr>
          <w:sz w:val="20"/>
          <w:szCs w:val="20"/>
          <w:color w:val="auto"/>
        </w:rPr>
      </w:pPr>
    </w:p>
    <w:p>
      <w:pPr>
        <w:ind w:left="980" w:right="120" w:hanging="432"/>
        <w:spacing w:after="0" w:line="257"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Subtracting: the grant date fair value of equity awards granted during the year; and the change in pension value for the year; and</w:t>
      </w:r>
    </w:p>
    <w:p>
      <w:pPr>
        <w:spacing w:after="0" w:line="60" w:lineRule="exact"/>
        <w:rPr>
          <w:rFonts w:ascii="Arial" w:cs="Arial" w:eastAsia="Arial" w:hAnsi="Arial"/>
          <w:sz w:val="20"/>
          <w:szCs w:val="20"/>
          <w:color w:val="auto"/>
        </w:rPr>
      </w:pPr>
    </w:p>
    <w:p>
      <w:pPr>
        <w:ind w:left="980" w:hanging="432"/>
        <w:spacing w:after="0" w:line="234"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Adding: the year-end fair value of unvested equity awards granted during the year; for equity awards granted in prior years that are outstanding and unvested at the end of the year, the difference between the fair value at the end of the year as compared to the end of the immediately prior year; for equity awards granted in prior years that vested during the year, the difference between the fair value as of the vesting date as compared to the end of the immediately prior year; and the pension service cost for that year.</w:t>
      </w:r>
    </w:p>
    <w:p>
      <w:pPr>
        <w:spacing w:after="0" w:line="175" w:lineRule="exact"/>
        <w:rPr>
          <w:sz w:val="20"/>
          <w:szCs w:val="20"/>
          <w:color w:val="auto"/>
        </w:rPr>
      </w:pPr>
    </w:p>
    <w:p>
      <w:pPr>
        <w:ind w:left="120" w:right="40" w:firstLine="771"/>
        <w:spacing w:after="0" w:line="230" w:lineRule="auto"/>
        <w:rPr>
          <w:sz w:val="20"/>
          <w:szCs w:val="20"/>
          <w:color w:val="auto"/>
        </w:rPr>
      </w:pPr>
      <w:r>
        <w:rPr>
          <w:rFonts w:ascii="Arial" w:cs="Arial" w:eastAsia="Arial" w:hAnsi="Arial"/>
          <w:sz w:val="20"/>
          <w:szCs w:val="20"/>
          <w:color w:val="auto"/>
        </w:rPr>
        <w:t>As a general matter, our board and PC&amp;C committee do not use CAP as a basis for making compensation decisions. Our PC&amp;C committee has adopted an executive compensation philosophy that is designed to ensure that a substantial majority of NEO compensation is performance-based and at risk. Further to this philosophy, our PC&amp;C committee has adopted incentive structures and governance policies that we believe align the interests of our NEOs with those of long-term stockholders, including a strong emphasis on performance-based equity awards, annual incentive payouts based on our performance against preset goals (with no guaranty of any minimum payout), and no guaranteed increases in base salaries. We believe that these structures and governance policies incentivize our NEOs and other employees to achieve goals aimed at increasing the long-term value of our enterprise. Importantly, because of the SEC-mandated formula for calculating CAP, period-to-period fluctuations in CAP reported for our NEOs may not correlate with our performance against our goals and the related compensation decisions made by our board and PC&amp;C committee.</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Most Important Financial Measures for 2023 Compensation</w:t>
      </w:r>
    </w:p>
    <w:p>
      <w:pPr>
        <w:spacing w:after="0" w:line="202" w:lineRule="exact"/>
        <w:rPr>
          <w:sz w:val="20"/>
          <w:szCs w:val="20"/>
          <w:color w:val="auto"/>
        </w:rPr>
      </w:pPr>
    </w:p>
    <w:p>
      <w:pPr>
        <w:ind w:left="120" w:right="160" w:firstLine="771"/>
        <w:spacing w:after="0" w:line="241" w:lineRule="auto"/>
        <w:rPr>
          <w:sz w:val="20"/>
          <w:szCs w:val="20"/>
          <w:color w:val="auto"/>
        </w:rPr>
      </w:pPr>
      <w:r>
        <w:rPr>
          <w:rFonts w:ascii="Arial" w:cs="Arial" w:eastAsia="Arial" w:hAnsi="Arial"/>
          <w:sz w:val="20"/>
          <w:szCs w:val="20"/>
          <w:color w:val="auto"/>
        </w:rPr>
        <w:t>As described above and in greater deal in the Compensation Discussion &amp; Analysis section of this proxy statement, our executive compensation programs reflect a pay-for-performance philosophy. Our compensation programs incorporate goals and measures to link pay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260"/>
        <w:spacing w:after="0" w:line="234" w:lineRule="auto"/>
        <w:rPr>
          <w:sz w:val="20"/>
          <w:szCs w:val="20"/>
          <w:color w:val="auto"/>
        </w:rPr>
      </w:pPr>
      <w:r>
        <w:rPr>
          <w:rFonts w:ascii="Arial" w:cs="Arial" w:eastAsia="Arial" w:hAnsi="Arial"/>
          <w:sz w:val="20"/>
          <w:szCs w:val="20"/>
          <w:color w:val="auto"/>
        </w:rPr>
        <w:t>performance in alignment with our business strategies and the interests of long-term stockholders. In accordance with the PvP rules, we have listed below the most important financial measures we used to link 2023 pay to performance. Note that we have identified these performance measures because they were among the most important financial and non-financial measures that were used in our 2023 annual incentive cash compensation program, but they are not the only measures we used to measure our 2023 performance.</w:t>
      </w:r>
    </w:p>
    <w:p>
      <w:pPr>
        <w:spacing w:after="0" w:line="80" w:lineRule="exact"/>
        <w:rPr>
          <w:sz w:val="20"/>
          <w:szCs w:val="20"/>
          <w:color w:val="auto"/>
        </w:rPr>
      </w:pPr>
    </w:p>
    <w:p>
      <w:pPr>
        <w:ind w:left="980" w:hanging="432"/>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Net product revenues</w:t>
      </w:r>
    </w:p>
    <w:p>
      <w:pPr>
        <w:spacing w:after="0" w:line="107" w:lineRule="exact"/>
        <w:rPr>
          <w:rFonts w:ascii="Arial" w:cs="Arial" w:eastAsia="Arial" w:hAnsi="Arial"/>
          <w:sz w:val="20"/>
          <w:szCs w:val="20"/>
          <w:color w:val="auto"/>
        </w:rPr>
      </w:pPr>
    </w:p>
    <w:p>
      <w:pPr>
        <w:ind w:left="980" w:hanging="432"/>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Collaboration and royalty revenues</w:t>
      </w:r>
    </w:p>
    <w:p>
      <w:pPr>
        <w:spacing w:after="0" w:line="107" w:lineRule="exact"/>
        <w:rPr>
          <w:rFonts w:ascii="Arial" w:cs="Arial" w:eastAsia="Arial" w:hAnsi="Arial"/>
          <w:sz w:val="20"/>
          <w:szCs w:val="20"/>
          <w:color w:val="auto"/>
        </w:rPr>
      </w:pPr>
    </w:p>
    <w:p>
      <w:pPr>
        <w:ind w:left="980" w:hanging="432"/>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non-GAAP operating expenses*</w:t>
      </w:r>
    </w:p>
    <w:p>
      <w:pPr>
        <w:spacing w:after="0" w:line="107" w:lineRule="exact"/>
        <w:rPr>
          <w:rFonts w:ascii="Arial" w:cs="Arial" w:eastAsia="Arial" w:hAnsi="Arial"/>
          <w:sz w:val="20"/>
          <w:szCs w:val="20"/>
          <w:color w:val="auto"/>
        </w:rPr>
      </w:pPr>
    </w:p>
    <w:p>
      <w:pPr>
        <w:ind w:left="980" w:hanging="432"/>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non-GAAP operating loss*</w:t>
      </w:r>
    </w:p>
    <w:p>
      <w:pPr>
        <w:spacing w:after="0" w:line="120" w:lineRule="exact"/>
        <w:rPr>
          <w:sz w:val="20"/>
          <w:szCs w:val="20"/>
          <w:color w:val="auto"/>
        </w:rPr>
      </w:pPr>
    </w:p>
    <w:p>
      <w:pPr>
        <w:ind w:left="1080" w:right="460" w:hanging="532"/>
        <w:spacing w:after="0" w:line="285" w:lineRule="auto"/>
        <w:tabs>
          <w:tab w:leader="none" w:pos="10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Non-GAAP operating expenses and non-GAAP operating loss are non-GAAP financial measures that exclude the impact of stock-based compensation expense from the corresponding GAAP numbers.</w:t>
      </w:r>
    </w:p>
    <w:p>
      <w:pPr>
        <w:spacing w:after="0" w:line="145" w:lineRule="exact"/>
        <w:rPr>
          <w:sz w:val="20"/>
          <w:szCs w:val="20"/>
          <w:color w:val="auto"/>
        </w:rPr>
      </w:pPr>
    </w:p>
    <w:p>
      <w:pPr>
        <w:ind w:left="120" w:right="100" w:firstLine="771"/>
        <w:spacing w:after="0" w:line="229" w:lineRule="auto"/>
        <w:rPr>
          <w:sz w:val="20"/>
          <w:szCs w:val="20"/>
          <w:color w:val="auto"/>
        </w:rPr>
      </w:pPr>
      <w:r>
        <w:rPr>
          <w:rFonts w:ascii="Arial" w:cs="Arial" w:eastAsia="Arial" w:hAnsi="Arial"/>
          <w:sz w:val="20"/>
          <w:szCs w:val="20"/>
          <w:color w:val="auto"/>
        </w:rPr>
        <w:t>The performance measures listed above are not ranked by relative importance, and their impact on annual incentive compensation in 2023 varied depending on their weighting and the weightings of the other financial and non-financial performance measures used by our board and PC&amp;C committee (refer to the Compensation Discussion and Analysis section of this proxy statement for a more complete discussion). However, under the PvP rules, we are required to identify a “Company Selected Measure”, or CSM, which is used for purposes of the pay-versus-performance data and analysis presented below. The PvP rules specify that the CSM represents our most important financial performance measure (other than total shareholder return or net income) used to link 2023 NEO CAP to our 2023 performance. As noted above, as a general matter our board and PC&amp;C committee do not use CAP for purposes of making compensation decisions. However, for purposes of the PvP rules, we have chosen global net product revenues as our 2023 CSM. We chose this financial measure as our 2023 CSM because it is one of the two most important financial measures used in our annual incentive program and had the most significant impact on the corporate performance modifier that was awarded by our board for 2023 performance against goals and therefore the amount of the AIP awards received by our NEOs and other employees under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Pay Versus Performance Table</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00" w:type="dxa"/>
            <w:vAlign w:val="bottom"/>
            <w:shd w:val="clear" w:color="auto" w:fill="1D3060"/>
          </w:tcPr>
          <w:p>
            <w:pPr>
              <w:spacing w:after="0"/>
              <w:rPr>
                <w:sz w:val="14"/>
                <w:szCs w:val="14"/>
                <w:color w:val="auto"/>
              </w:rPr>
            </w:pPr>
          </w:p>
        </w:tc>
        <w:tc>
          <w:tcPr>
            <w:tcW w:w="260" w:type="dxa"/>
            <w:vAlign w:val="bottom"/>
            <w:shd w:val="clear" w:color="auto" w:fill="1D3060"/>
          </w:tcPr>
          <w:p>
            <w:pPr>
              <w:spacing w:after="0"/>
              <w:rPr>
                <w:sz w:val="14"/>
                <w:szCs w:val="14"/>
                <w:color w:val="auto"/>
              </w:rPr>
            </w:pPr>
          </w:p>
        </w:tc>
        <w:tc>
          <w:tcPr>
            <w:tcW w:w="1020" w:type="dxa"/>
            <w:vAlign w:val="bottom"/>
            <w:shd w:val="clear" w:color="auto" w:fill="1D3060"/>
          </w:tcPr>
          <w:p>
            <w:pPr>
              <w:spacing w:after="0"/>
              <w:rPr>
                <w:sz w:val="14"/>
                <w:szCs w:val="14"/>
                <w:color w:val="auto"/>
              </w:rPr>
            </w:pPr>
          </w:p>
        </w:tc>
        <w:tc>
          <w:tcPr>
            <w:tcW w:w="1380" w:type="dxa"/>
            <w:vAlign w:val="bottom"/>
            <w:shd w:val="clear" w:color="auto" w:fill="1D3060"/>
          </w:tcPr>
          <w:p>
            <w:pPr>
              <w:spacing w:after="0"/>
              <w:rPr>
                <w:sz w:val="14"/>
                <w:szCs w:val="14"/>
                <w:color w:val="auto"/>
              </w:rPr>
            </w:pPr>
          </w:p>
        </w:tc>
        <w:tc>
          <w:tcPr>
            <w:tcW w:w="1420" w:type="dxa"/>
            <w:vAlign w:val="bottom"/>
            <w:shd w:val="clear" w:color="auto" w:fill="1D3060"/>
          </w:tcPr>
          <w:p>
            <w:pPr>
              <w:spacing w:after="0"/>
              <w:rPr>
                <w:sz w:val="14"/>
                <w:szCs w:val="14"/>
                <w:color w:val="auto"/>
              </w:rPr>
            </w:pPr>
          </w:p>
        </w:tc>
        <w:tc>
          <w:tcPr>
            <w:tcW w:w="1300" w:type="dxa"/>
            <w:vAlign w:val="bottom"/>
            <w:shd w:val="clear" w:color="auto" w:fill="1D3060"/>
          </w:tcPr>
          <w:p>
            <w:pPr>
              <w:spacing w:after="0"/>
              <w:rPr>
                <w:sz w:val="14"/>
                <w:szCs w:val="14"/>
                <w:color w:val="auto"/>
              </w:rPr>
            </w:pPr>
          </w:p>
        </w:tc>
        <w:tc>
          <w:tcPr>
            <w:tcW w:w="1980" w:type="dxa"/>
            <w:vAlign w:val="bottom"/>
            <w:gridSpan w:val="2"/>
            <w:shd w:val="clear" w:color="auto" w:fill="1D3060"/>
          </w:tcPr>
          <w:p>
            <w:pPr>
              <w:jc w:val="right"/>
              <w:ind w:right="177"/>
              <w:spacing w:after="0"/>
              <w:rPr>
                <w:sz w:val="20"/>
                <w:szCs w:val="20"/>
                <w:color w:val="auto"/>
              </w:rPr>
            </w:pPr>
            <w:r>
              <w:rPr>
                <w:rFonts w:ascii="Arial" w:cs="Arial" w:eastAsia="Arial" w:hAnsi="Arial"/>
                <w:sz w:val="13"/>
                <w:szCs w:val="13"/>
                <w:b w:val="1"/>
                <w:bCs w:val="1"/>
                <w:color w:val="FFFFFF"/>
              </w:rPr>
              <w:t>Value of Initial Fixed $100</w:t>
            </w:r>
          </w:p>
        </w:tc>
        <w:tc>
          <w:tcPr>
            <w:tcW w:w="1960" w:type="dxa"/>
            <w:vAlign w:val="bottom"/>
            <w:gridSpan w:val="2"/>
            <w:vMerge w:val="restart"/>
            <w:shd w:val="clear" w:color="auto" w:fill="1D3060"/>
          </w:tcPr>
          <w:p>
            <w:pPr>
              <w:jc w:val="right"/>
              <w:ind w:right="457"/>
              <w:spacing w:after="0"/>
              <w:rPr>
                <w:sz w:val="20"/>
                <w:szCs w:val="20"/>
                <w:color w:val="auto"/>
              </w:rPr>
            </w:pPr>
            <w:r>
              <w:rPr>
                <w:rFonts w:ascii="Arial" w:cs="Arial" w:eastAsia="Arial" w:hAnsi="Arial"/>
                <w:sz w:val="13"/>
                <w:szCs w:val="13"/>
                <w:b w:val="1"/>
                <w:bCs w:val="1"/>
                <w:color w:val="FFFFFF"/>
              </w:rPr>
              <w:t>(in thousands)</w:t>
            </w:r>
          </w:p>
        </w:tc>
        <w:tc>
          <w:tcPr>
            <w:tcW w:w="0" w:type="dxa"/>
            <w:vAlign w:val="bottom"/>
          </w:tcPr>
          <w:p>
            <w:pPr>
              <w:spacing w:after="0"/>
              <w:rPr>
                <w:sz w:val="1"/>
                <w:szCs w:val="1"/>
                <w:color w:val="auto"/>
              </w:rPr>
            </w:pPr>
          </w:p>
        </w:tc>
      </w:tr>
      <w:tr>
        <w:trPr>
          <w:trHeight w:val="153"/>
        </w:trPr>
        <w:tc>
          <w:tcPr>
            <w:tcW w:w="1700" w:type="dxa"/>
            <w:vAlign w:val="bottom"/>
            <w:shd w:val="clear" w:color="auto" w:fill="1D3060"/>
          </w:tcPr>
          <w:p>
            <w:pPr>
              <w:spacing w:after="0"/>
              <w:rPr>
                <w:sz w:val="13"/>
                <w:szCs w:val="13"/>
                <w:color w:val="auto"/>
              </w:rPr>
            </w:pPr>
          </w:p>
        </w:tc>
        <w:tc>
          <w:tcPr>
            <w:tcW w:w="260" w:type="dxa"/>
            <w:vAlign w:val="bottom"/>
            <w:shd w:val="clear" w:color="auto" w:fill="1D3060"/>
          </w:tcPr>
          <w:p>
            <w:pPr>
              <w:spacing w:after="0"/>
              <w:rPr>
                <w:sz w:val="13"/>
                <w:szCs w:val="13"/>
                <w:color w:val="auto"/>
              </w:rPr>
            </w:pPr>
          </w:p>
        </w:tc>
        <w:tc>
          <w:tcPr>
            <w:tcW w:w="1020" w:type="dxa"/>
            <w:vAlign w:val="bottom"/>
            <w:shd w:val="clear" w:color="auto" w:fill="1D3060"/>
          </w:tcPr>
          <w:p>
            <w:pPr>
              <w:spacing w:after="0"/>
              <w:rPr>
                <w:sz w:val="13"/>
                <w:szCs w:val="13"/>
                <w:color w:val="auto"/>
              </w:rPr>
            </w:pPr>
          </w:p>
        </w:tc>
        <w:tc>
          <w:tcPr>
            <w:tcW w:w="1380" w:type="dxa"/>
            <w:vAlign w:val="bottom"/>
            <w:shd w:val="clear" w:color="auto" w:fill="1D3060"/>
          </w:tcPr>
          <w:p>
            <w:pPr>
              <w:spacing w:after="0"/>
              <w:rPr>
                <w:sz w:val="13"/>
                <w:szCs w:val="13"/>
                <w:color w:val="auto"/>
              </w:rPr>
            </w:pPr>
          </w:p>
        </w:tc>
        <w:tc>
          <w:tcPr>
            <w:tcW w:w="1420" w:type="dxa"/>
            <w:vAlign w:val="bottom"/>
            <w:vMerge w:val="restart"/>
            <w:shd w:val="clear" w:color="auto" w:fill="1D3060"/>
          </w:tcPr>
          <w:p>
            <w:pPr>
              <w:jc w:val="right"/>
              <w:ind w:right="97"/>
              <w:spacing w:after="0"/>
              <w:rPr>
                <w:sz w:val="20"/>
                <w:szCs w:val="20"/>
                <w:color w:val="auto"/>
              </w:rPr>
            </w:pPr>
            <w:r>
              <w:rPr>
                <w:rFonts w:ascii="Arial" w:cs="Arial" w:eastAsia="Arial" w:hAnsi="Arial"/>
                <w:sz w:val="13"/>
                <w:szCs w:val="13"/>
                <w:b w:val="1"/>
                <w:bCs w:val="1"/>
                <w:color w:val="FFFFFF"/>
              </w:rPr>
              <w:t>Average Summary</w:t>
            </w:r>
          </w:p>
        </w:tc>
        <w:tc>
          <w:tcPr>
            <w:tcW w:w="1300" w:type="dxa"/>
            <w:vAlign w:val="bottom"/>
            <w:vMerge w:val="restart"/>
            <w:shd w:val="clear" w:color="auto" w:fill="1D3060"/>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1980" w:type="dxa"/>
            <w:vAlign w:val="bottom"/>
            <w:gridSpan w:val="2"/>
            <w:shd w:val="clear" w:color="auto" w:fill="1D3060"/>
          </w:tcPr>
          <w:p>
            <w:pPr>
              <w:jc w:val="right"/>
              <w:ind w:right="297"/>
              <w:spacing w:after="0"/>
              <w:rPr>
                <w:sz w:val="20"/>
                <w:szCs w:val="20"/>
                <w:color w:val="auto"/>
              </w:rPr>
            </w:pPr>
            <w:r>
              <w:rPr>
                <w:rFonts w:ascii="Arial" w:cs="Arial" w:eastAsia="Arial" w:hAnsi="Arial"/>
                <w:sz w:val="13"/>
                <w:szCs w:val="13"/>
                <w:b w:val="1"/>
                <w:bCs w:val="1"/>
                <w:color w:val="FFFFFF"/>
              </w:rPr>
              <w:t>Investment Based on:</w:t>
            </w:r>
          </w:p>
        </w:tc>
        <w:tc>
          <w:tcPr>
            <w:tcW w:w="1960" w:type="dxa"/>
            <w:vAlign w:val="bottom"/>
            <w:gridSpan w:val="2"/>
            <w:vMerge w:val="continue"/>
            <w:shd w:val="clear" w:color="auto" w:fill="1D3060"/>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1D3060"/>
          </w:tcPr>
          <w:p>
            <w:pPr>
              <w:spacing w:after="0"/>
              <w:rPr>
                <w:sz w:val="10"/>
                <w:szCs w:val="10"/>
                <w:color w:val="auto"/>
              </w:rPr>
            </w:pPr>
          </w:p>
        </w:tc>
        <w:tc>
          <w:tcPr>
            <w:tcW w:w="260" w:type="dxa"/>
            <w:vAlign w:val="bottom"/>
            <w:shd w:val="clear" w:color="auto" w:fill="1D3060"/>
          </w:tcPr>
          <w:p>
            <w:pPr>
              <w:spacing w:after="0"/>
              <w:rPr>
                <w:sz w:val="10"/>
                <w:szCs w:val="10"/>
                <w:color w:val="auto"/>
              </w:rPr>
            </w:pPr>
          </w:p>
        </w:tc>
        <w:tc>
          <w:tcPr>
            <w:tcW w:w="1020" w:type="dxa"/>
            <w:vAlign w:val="bottom"/>
            <w:vMerge w:val="restart"/>
            <w:shd w:val="clear" w:color="auto" w:fill="1D3060"/>
          </w:tcPr>
          <w:p>
            <w:pPr>
              <w:jc w:val="center"/>
              <w:ind w:right="97"/>
              <w:spacing w:after="0"/>
              <w:rPr>
                <w:sz w:val="20"/>
                <w:szCs w:val="20"/>
                <w:color w:val="auto"/>
              </w:rPr>
            </w:pPr>
            <w:r>
              <w:rPr>
                <w:rFonts w:ascii="Arial" w:cs="Arial" w:eastAsia="Arial" w:hAnsi="Arial"/>
                <w:sz w:val="13"/>
                <w:szCs w:val="13"/>
                <w:b w:val="1"/>
                <w:bCs w:val="1"/>
                <w:color w:val="FFFFFF"/>
                <w:w w:val="97"/>
              </w:rPr>
              <w:t>Summary</w:t>
            </w:r>
          </w:p>
        </w:tc>
        <w:tc>
          <w:tcPr>
            <w:tcW w:w="1380" w:type="dxa"/>
            <w:vAlign w:val="bottom"/>
            <w:shd w:val="clear" w:color="auto" w:fill="1D3060"/>
          </w:tcPr>
          <w:p>
            <w:pPr>
              <w:spacing w:after="0"/>
              <w:rPr>
                <w:sz w:val="10"/>
                <w:szCs w:val="10"/>
                <w:color w:val="auto"/>
              </w:rPr>
            </w:pPr>
          </w:p>
        </w:tc>
        <w:tc>
          <w:tcPr>
            <w:tcW w:w="1420" w:type="dxa"/>
            <w:vAlign w:val="bottom"/>
            <w:vMerge w:val="continue"/>
            <w:shd w:val="clear" w:color="auto" w:fill="1D3060"/>
          </w:tcPr>
          <w:p>
            <w:pPr>
              <w:spacing w:after="0"/>
              <w:rPr>
                <w:sz w:val="10"/>
                <w:szCs w:val="10"/>
                <w:color w:val="auto"/>
              </w:rPr>
            </w:pPr>
          </w:p>
        </w:tc>
        <w:tc>
          <w:tcPr>
            <w:tcW w:w="1300" w:type="dxa"/>
            <w:vAlign w:val="bottom"/>
            <w:vMerge w:val="continue"/>
            <w:shd w:val="clear" w:color="auto" w:fill="1D3060"/>
          </w:tcPr>
          <w:p>
            <w:pPr>
              <w:spacing w:after="0"/>
              <w:rPr>
                <w:sz w:val="10"/>
                <w:szCs w:val="10"/>
                <w:color w:val="auto"/>
              </w:rPr>
            </w:pPr>
          </w:p>
        </w:tc>
        <w:tc>
          <w:tcPr>
            <w:tcW w:w="840" w:type="dxa"/>
            <w:vAlign w:val="bottom"/>
            <w:shd w:val="clear" w:color="auto" w:fill="1D3060"/>
          </w:tcPr>
          <w:p>
            <w:pPr>
              <w:spacing w:after="0"/>
              <w:rPr>
                <w:sz w:val="10"/>
                <w:szCs w:val="10"/>
                <w:color w:val="auto"/>
              </w:rPr>
            </w:pPr>
          </w:p>
        </w:tc>
        <w:tc>
          <w:tcPr>
            <w:tcW w:w="1140" w:type="dxa"/>
            <w:vAlign w:val="bottom"/>
            <w:shd w:val="clear" w:color="auto" w:fill="1D3060"/>
          </w:tcPr>
          <w:p>
            <w:pPr>
              <w:spacing w:after="0"/>
              <w:rPr>
                <w:sz w:val="10"/>
                <w:szCs w:val="10"/>
                <w:color w:val="auto"/>
              </w:rPr>
            </w:pPr>
          </w:p>
        </w:tc>
        <w:tc>
          <w:tcPr>
            <w:tcW w:w="1040" w:type="dxa"/>
            <w:vAlign w:val="bottom"/>
            <w:shd w:val="clear" w:color="auto" w:fill="1D3060"/>
          </w:tcPr>
          <w:p>
            <w:pPr>
              <w:spacing w:after="0"/>
              <w:rPr>
                <w:sz w:val="10"/>
                <w:szCs w:val="10"/>
                <w:color w:val="auto"/>
              </w:rPr>
            </w:pPr>
          </w:p>
        </w:tc>
        <w:tc>
          <w:tcPr>
            <w:tcW w:w="920" w:type="dxa"/>
            <w:vAlign w:val="bottom"/>
            <w:shd w:val="clear" w:color="auto" w:fill="1D3060"/>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1D3060"/>
          </w:tcPr>
          <w:p>
            <w:pPr>
              <w:spacing w:after="0"/>
              <w:rPr>
                <w:sz w:val="11"/>
                <w:szCs w:val="11"/>
                <w:color w:val="auto"/>
              </w:rPr>
            </w:pPr>
          </w:p>
        </w:tc>
        <w:tc>
          <w:tcPr>
            <w:tcW w:w="260" w:type="dxa"/>
            <w:vAlign w:val="bottom"/>
            <w:shd w:val="clear" w:color="auto" w:fill="1D3060"/>
          </w:tcPr>
          <w:p>
            <w:pPr>
              <w:spacing w:after="0"/>
              <w:rPr>
                <w:sz w:val="11"/>
                <w:szCs w:val="11"/>
                <w:color w:val="auto"/>
              </w:rPr>
            </w:pPr>
          </w:p>
        </w:tc>
        <w:tc>
          <w:tcPr>
            <w:tcW w:w="1020" w:type="dxa"/>
            <w:vAlign w:val="bottom"/>
            <w:vMerge w:val="continue"/>
            <w:shd w:val="clear" w:color="auto" w:fill="1D3060"/>
          </w:tcPr>
          <w:p>
            <w:pPr>
              <w:spacing w:after="0"/>
              <w:rPr>
                <w:sz w:val="11"/>
                <w:szCs w:val="11"/>
                <w:color w:val="auto"/>
              </w:rPr>
            </w:pPr>
          </w:p>
        </w:tc>
        <w:tc>
          <w:tcPr>
            <w:tcW w:w="1380" w:type="dxa"/>
            <w:vAlign w:val="bottom"/>
            <w:vMerge w:val="restart"/>
            <w:shd w:val="clear" w:color="auto" w:fill="1D3060"/>
          </w:tcPr>
          <w:p>
            <w:pPr>
              <w:jc w:val="center"/>
              <w:spacing w:after="0"/>
              <w:rPr>
                <w:sz w:val="20"/>
                <w:szCs w:val="20"/>
                <w:color w:val="auto"/>
              </w:rPr>
            </w:pPr>
            <w:r>
              <w:rPr>
                <w:rFonts w:ascii="Arial" w:cs="Arial" w:eastAsia="Arial" w:hAnsi="Arial"/>
                <w:sz w:val="13"/>
                <w:szCs w:val="13"/>
                <w:b w:val="1"/>
                <w:bCs w:val="1"/>
                <w:color w:val="FFFFFF"/>
                <w:w w:val="95"/>
              </w:rPr>
              <w:t>Compensation</w:t>
            </w:r>
          </w:p>
        </w:tc>
        <w:tc>
          <w:tcPr>
            <w:tcW w:w="142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130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840" w:type="dxa"/>
            <w:vAlign w:val="bottom"/>
            <w:shd w:val="clear" w:color="auto" w:fill="1D3060"/>
          </w:tcPr>
          <w:p>
            <w:pPr>
              <w:spacing w:after="0"/>
              <w:rPr>
                <w:sz w:val="11"/>
                <w:szCs w:val="11"/>
                <w:color w:val="auto"/>
              </w:rPr>
            </w:pPr>
          </w:p>
        </w:tc>
        <w:tc>
          <w:tcPr>
            <w:tcW w:w="1140" w:type="dxa"/>
            <w:vAlign w:val="bottom"/>
            <w:shd w:val="clear" w:color="auto" w:fill="1D3060"/>
          </w:tcPr>
          <w:p>
            <w:pPr>
              <w:spacing w:after="0"/>
              <w:rPr>
                <w:sz w:val="11"/>
                <w:szCs w:val="11"/>
                <w:color w:val="auto"/>
              </w:rPr>
            </w:pPr>
          </w:p>
        </w:tc>
        <w:tc>
          <w:tcPr>
            <w:tcW w:w="1040" w:type="dxa"/>
            <w:vAlign w:val="bottom"/>
            <w:shd w:val="clear" w:color="auto" w:fill="1D3060"/>
          </w:tcPr>
          <w:p>
            <w:pPr>
              <w:spacing w:after="0"/>
              <w:rPr>
                <w:sz w:val="11"/>
                <w:szCs w:val="11"/>
                <w:color w:val="auto"/>
              </w:rPr>
            </w:pPr>
          </w:p>
        </w:tc>
        <w:tc>
          <w:tcPr>
            <w:tcW w:w="920" w:type="dxa"/>
            <w:vAlign w:val="bottom"/>
            <w:vMerge w:val="restart"/>
            <w:shd w:val="clear" w:color="auto" w:fill="1D3060"/>
          </w:tcPr>
          <w:p>
            <w:pPr>
              <w:jc w:val="center"/>
              <w:spacing w:after="0"/>
              <w:rPr>
                <w:sz w:val="20"/>
                <w:szCs w:val="20"/>
                <w:color w:val="auto"/>
              </w:rPr>
            </w:pPr>
            <w:r>
              <w:rPr>
                <w:rFonts w:ascii="Arial" w:cs="Arial" w:eastAsia="Arial" w:hAnsi="Arial"/>
                <w:sz w:val="13"/>
                <w:szCs w:val="13"/>
                <w:b w:val="1"/>
                <w:bCs w:val="1"/>
                <w:color w:val="FFFFFF"/>
                <w:w w:val="94"/>
              </w:rPr>
              <w:t>CSM - Net</w:t>
            </w:r>
          </w:p>
        </w:tc>
        <w:tc>
          <w:tcPr>
            <w:tcW w:w="0" w:type="dxa"/>
            <w:vAlign w:val="bottom"/>
          </w:tcPr>
          <w:p>
            <w:pPr>
              <w:spacing w:after="0"/>
              <w:rPr>
                <w:sz w:val="1"/>
                <w:szCs w:val="1"/>
                <w:color w:val="auto"/>
              </w:rPr>
            </w:pPr>
          </w:p>
        </w:tc>
      </w:tr>
      <w:tr>
        <w:trPr>
          <w:trHeight w:val="135"/>
        </w:trPr>
        <w:tc>
          <w:tcPr>
            <w:tcW w:w="1700" w:type="dxa"/>
            <w:vAlign w:val="bottom"/>
            <w:shd w:val="clear" w:color="auto" w:fill="1D3060"/>
          </w:tcPr>
          <w:p>
            <w:pPr>
              <w:spacing w:after="0"/>
              <w:rPr>
                <w:sz w:val="11"/>
                <w:szCs w:val="11"/>
                <w:color w:val="auto"/>
              </w:rPr>
            </w:pPr>
          </w:p>
        </w:tc>
        <w:tc>
          <w:tcPr>
            <w:tcW w:w="260" w:type="dxa"/>
            <w:vAlign w:val="bottom"/>
            <w:shd w:val="clear" w:color="auto" w:fill="1D3060"/>
          </w:tcPr>
          <w:p>
            <w:pPr>
              <w:spacing w:after="0"/>
              <w:rPr>
                <w:sz w:val="11"/>
                <w:szCs w:val="11"/>
                <w:color w:val="auto"/>
              </w:rPr>
            </w:pPr>
          </w:p>
        </w:tc>
        <w:tc>
          <w:tcPr>
            <w:tcW w:w="1020" w:type="dxa"/>
            <w:vAlign w:val="bottom"/>
            <w:shd w:val="clear" w:color="auto" w:fill="1D3060"/>
          </w:tcPr>
          <w:p>
            <w:pPr>
              <w:jc w:val="center"/>
              <w:ind w:right="97"/>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1380" w:type="dxa"/>
            <w:vAlign w:val="bottom"/>
            <w:vMerge w:val="continue"/>
            <w:shd w:val="clear" w:color="auto" w:fill="1D3060"/>
          </w:tcPr>
          <w:p>
            <w:pPr>
              <w:spacing w:after="0"/>
              <w:rPr>
                <w:sz w:val="11"/>
                <w:szCs w:val="11"/>
                <w:color w:val="auto"/>
              </w:rPr>
            </w:pPr>
          </w:p>
        </w:tc>
        <w:tc>
          <w:tcPr>
            <w:tcW w:w="142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Table Total for</w:t>
            </w:r>
          </w:p>
        </w:tc>
        <w:tc>
          <w:tcPr>
            <w:tcW w:w="130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6"/>
              </w:rPr>
              <w:t>Actually Paid to</w:t>
            </w:r>
          </w:p>
        </w:tc>
        <w:tc>
          <w:tcPr>
            <w:tcW w:w="840" w:type="dxa"/>
            <w:vAlign w:val="bottom"/>
            <w:vMerge w:val="restart"/>
            <w:shd w:val="clear" w:color="auto" w:fill="1D3060"/>
          </w:tcPr>
          <w:p>
            <w:pPr>
              <w:jc w:val="right"/>
              <w:ind w:right="277"/>
              <w:spacing w:after="0"/>
              <w:rPr>
                <w:sz w:val="20"/>
                <w:szCs w:val="20"/>
                <w:color w:val="auto"/>
              </w:rPr>
            </w:pPr>
            <w:r>
              <w:rPr>
                <w:rFonts w:ascii="Arial" w:cs="Arial" w:eastAsia="Arial" w:hAnsi="Arial"/>
                <w:sz w:val="13"/>
                <w:szCs w:val="13"/>
                <w:b w:val="1"/>
                <w:bCs w:val="1"/>
                <w:color w:val="FFFFFF"/>
              </w:rPr>
              <w:t>TSR</w:t>
            </w:r>
          </w:p>
        </w:tc>
        <w:tc>
          <w:tcPr>
            <w:tcW w:w="1140" w:type="dxa"/>
            <w:vAlign w:val="bottom"/>
            <w:vMerge w:val="restart"/>
            <w:shd w:val="clear" w:color="auto" w:fill="1D3060"/>
          </w:tcPr>
          <w:p>
            <w:pPr>
              <w:jc w:val="right"/>
              <w:ind w:right="177"/>
              <w:spacing w:after="0"/>
              <w:rPr>
                <w:sz w:val="20"/>
                <w:szCs w:val="20"/>
                <w:color w:val="auto"/>
              </w:rPr>
            </w:pPr>
            <w:r>
              <w:rPr>
                <w:rFonts w:ascii="Arial" w:cs="Arial" w:eastAsia="Arial" w:hAnsi="Arial"/>
                <w:sz w:val="13"/>
                <w:szCs w:val="13"/>
                <w:b w:val="1"/>
                <w:bCs w:val="1"/>
                <w:color w:val="FFFFFF"/>
              </w:rPr>
              <w:t>Peer Group</w:t>
            </w:r>
          </w:p>
        </w:tc>
        <w:tc>
          <w:tcPr>
            <w:tcW w:w="1040" w:type="dxa"/>
            <w:vAlign w:val="bottom"/>
            <w:shd w:val="clear" w:color="auto" w:fill="1D3060"/>
          </w:tcPr>
          <w:p>
            <w:pPr>
              <w:spacing w:after="0"/>
              <w:rPr>
                <w:sz w:val="11"/>
                <w:szCs w:val="11"/>
                <w:color w:val="auto"/>
              </w:rPr>
            </w:pPr>
          </w:p>
        </w:tc>
        <w:tc>
          <w:tcPr>
            <w:tcW w:w="920" w:type="dxa"/>
            <w:vAlign w:val="bottom"/>
            <w:vMerge w:val="continue"/>
            <w:shd w:val="clear" w:color="auto" w:fill="1D306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vMerge w:val="restart"/>
            <w:shd w:val="clear" w:color="auto" w:fill="1D3060"/>
          </w:tcPr>
          <w:p>
            <w:pPr>
              <w:spacing w:after="0"/>
              <w:rPr>
                <w:sz w:val="20"/>
                <w:szCs w:val="20"/>
                <w:color w:val="auto"/>
              </w:rPr>
            </w:pPr>
            <w:r>
              <w:rPr>
                <w:rFonts w:ascii="Arial" w:cs="Arial" w:eastAsia="Arial" w:hAnsi="Arial"/>
                <w:sz w:val="13"/>
                <w:szCs w:val="13"/>
                <w:b w:val="1"/>
                <w:bCs w:val="1"/>
                <w:color w:val="FFFFFF"/>
              </w:rPr>
              <w:t>  Year</w:t>
            </w:r>
          </w:p>
        </w:tc>
        <w:tc>
          <w:tcPr>
            <w:tcW w:w="260" w:type="dxa"/>
            <w:vAlign w:val="bottom"/>
            <w:shd w:val="clear" w:color="auto" w:fill="1D3060"/>
          </w:tcPr>
          <w:p>
            <w:pPr>
              <w:spacing w:after="0"/>
              <w:rPr>
                <w:sz w:val="11"/>
                <w:szCs w:val="11"/>
                <w:color w:val="auto"/>
              </w:rPr>
            </w:pPr>
          </w:p>
        </w:tc>
        <w:tc>
          <w:tcPr>
            <w:tcW w:w="1020" w:type="dxa"/>
            <w:vAlign w:val="bottom"/>
            <w:shd w:val="clear" w:color="auto" w:fill="1D3060"/>
          </w:tcPr>
          <w:p>
            <w:pPr>
              <w:jc w:val="center"/>
              <w:ind w:right="97"/>
              <w:spacing w:after="0" w:line="135" w:lineRule="exact"/>
              <w:rPr>
                <w:sz w:val="20"/>
                <w:szCs w:val="20"/>
                <w:color w:val="auto"/>
              </w:rPr>
            </w:pPr>
            <w:r>
              <w:rPr>
                <w:rFonts w:ascii="Arial" w:cs="Arial" w:eastAsia="Arial" w:hAnsi="Arial"/>
                <w:sz w:val="13"/>
                <w:szCs w:val="13"/>
                <w:b w:val="1"/>
                <w:bCs w:val="1"/>
                <w:color w:val="FFFFFF"/>
                <w:w w:val="95"/>
              </w:rPr>
              <w:t>Table Total for</w:t>
            </w:r>
          </w:p>
        </w:tc>
        <w:tc>
          <w:tcPr>
            <w:tcW w:w="138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Actually Paid</w:t>
            </w:r>
          </w:p>
        </w:tc>
        <w:tc>
          <w:tcPr>
            <w:tcW w:w="1420" w:type="dxa"/>
            <w:vAlign w:val="bottom"/>
            <w:shd w:val="clear" w:color="auto" w:fill="1D3060"/>
          </w:tcPr>
          <w:p>
            <w:pPr>
              <w:jc w:val="right"/>
              <w:ind w:right="97"/>
              <w:spacing w:after="0" w:line="135" w:lineRule="exact"/>
              <w:rPr>
                <w:sz w:val="20"/>
                <w:szCs w:val="20"/>
                <w:color w:val="auto"/>
              </w:rPr>
            </w:pPr>
            <w:r>
              <w:rPr>
                <w:rFonts w:ascii="Arial" w:cs="Arial" w:eastAsia="Arial" w:hAnsi="Arial"/>
                <w:sz w:val="13"/>
                <w:szCs w:val="13"/>
                <w:b w:val="1"/>
                <w:bCs w:val="1"/>
                <w:color w:val="FFFFFF"/>
              </w:rPr>
              <w:t>non-PEO NEOs ($)</w:t>
            </w:r>
          </w:p>
        </w:tc>
        <w:tc>
          <w:tcPr>
            <w:tcW w:w="130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5"/>
              </w:rPr>
              <w:t>non-PEO NEOs</w:t>
            </w:r>
          </w:p>
        </w:tc>
        <w:tc>
          <w:tcPr>
            <w:tcW w:w="840" w:type="dxa"/>
            <w:vAlign w:val="bottom"/>
            <w:vMerge w:val="continue"/>
            <w:shd w:val="clear" w:color="auto" w:fill="1D3060"/>
          </w:tcPr>
          <w:p>
            <w:pPr>
              <w:spacing w:after="0"/>
              <w:rPr>
                <w:sz w:val="11"/>
                <w:szCs w:val="11"/>
                <w:color w:val="auto"/>
              </w:rPr>
            </w:pPr>
          </w:p>
        </w:tc>
        <w:tc>
          <w:tcPr>
            <w:tcW w:w="1140" w:type="dxa"/>
            <w:vAlign w:val="bottom"/>
            <w:vMerge w:val="continue"/>
            <w:shd w:val="clear" w:color="auto" w:fill="1D3060"/>
          </w:tcPr>
          <w:p>
            <w:pPr>
              <w:spacing w:after="0"/>
              <w:rPr>
                <w:sz w:val="11"/>
                <w:szCs w:val="11"/>
                <w:color w:val="auto"/>
              </w:rPr>
            </w:pPr>
          </w:p>
        </w:tc>
        <w:tc>
          <w:tcPr>
            <w:tcW w:w="1040" w:type="dxa"/>
            <w:vAlign w:val="bottom"/>
            <w:vMerge w:val="restart"/>
            <w:shd w:val="clear" w:color="auto" w:fill="1D3060"/>
          </w:tcPr>
          <w:p>
            <w:pPr>
              <w:jc w:val="right"/>
              <w:ind w:right="97"/>
              <w:spacing w:after="0"/>
              <w:rPr>
                <w:sz w:val="20"/>
                <w:szCs w:val="20"/>
                <w:color w:val="auto"/>
              </w:rPr>
            </w:pPr>
            <w:r>
              <w:rPr>
                <w:rFonts w:ascii="Arial" w:cs="Arial" w:eastAsia="Arial" w:hAnsi="Arial"/>
                <w:sz w:val="13"/>
                <w:szCs w:val="13"/>
                <w:b w:val="1"/>
                <w:bCs w:val="1"/>
                <w:color w:val="FFFFFF"/>
              </w:rPr>
              <w:t>Net Loss ($)</w:t>
            </w:r>
          </w:p>
        </w:tc>
        <w:tc>
          <w:tcPr>
            <w:tcW w:w="920" w:type="dxa"/>
            <w:vAlign w:val="bottom"/>
            <w:shd w:val="clear" w:color="auto" w:fill="1D3060"/>
          </w:tcPr>
          <w:p>
            <w:pPr>
              <w:jc w:val="center"/>
              <w:spacing w:after="0" w:line="135" w:lineRule="exact"/>
              <w:rPr>
                <w:sz w:val="20"/>
                <w:szCs w:val="20"/>
                <w:color w:val="auto"/>
              </w:rPr>
            </w:pPr>
            <w:r>
              <w:rPr>
                <w:rFonts w:ascii="Arial" w:cs="Arial" w:eastAsia="Arial" w:hAnsi="Arial"/>
                <w:sz w:val="13"/>
                <w:szCs w:val="13"/>
                <w:b w:val="1"/>
                <w:bCs w:val="1"/>
                <w:color w:val="FFFFFF"/>
                <w:w w:val="97"/>
              </w:rPr>
              <w:t>Product</w:t>
            </w:r>
          </w:p>
        </w:tc>
        <w:tc>
          <w:tcPr>
            <w:tcW w:w="0" w:type="dxa"/>
            <w:vAlign w:val="bottom"/>
          </w:tcPr>
          <w:p>
            <w:pPr>
              <w:spacing w:after="0"/>
              <w:rPr>
                <w:sz w:val="1"/>
                <w:szCs w:val="1"/>
                <w:color w:val="auto"/>
              </w:rPr>
            </w:pPr>
          </w:p>
        </w:tc>
      </w:tr>
      <w:tr>
        <w:trPr>
          <w:trHeight w:val="189"/>
        </w:trPr>
        <w:tc>
          <w:tcPr>
            <w:tcW w:w="1700" w:type="dxa"/>
            <w:vAlign w:val="bottom"/>
            <w:vMerge w:val="continue"/>
            <w:shd w:val="clear" w:color="auto" w:fill="1D3060"/>
          </w:tcPr>
          <w:p>
            <w:pPr>
              <w:spacing w:after="0"/>
              <w:rPr>
                <w:sz w:val="16"/>
                <w:szCs w:val="16"/>
                <w:color w:val="auto"/>
              </w:rPr>
            </w:pPr>
          </w:p>
        </w:tc>
        <w:tc>
          <w:tcPr>
            <w:tcW w:w="260" w:type="dxa"/>
            <w:vAlign w:val="bottom"/>
            <w:shd w:val="clear" w:color="auto" w:fill="1D3060"/>
          </w:tcPr>
          <w:p>
            <w:pPr>
              <w:spacing w:after="0"/>
              <w:rPr>
                <w:sz w:val="16"/>
                <w:szCs w:val="16"/>
                <w:color w:val="auto"/>
              </w:rPr>
            </w:pPr>
          </w:p>
        </w:tc>
        <w:tc>
          <w:tcPr>
            <w:tcW w:w="1020" w:type="dxa"/>
            <w:vAlign w:val="bottom"/>
            <w:shd w:val="clear" w:color="auto" w:fill="1D3060"/>
          </w:tcPr>
          <w:p>
            <w:pPr>
              <w:jc w:val="center"/>
              <w:ind w:right="97"/>
              <w:spacing w:after="0"/>
              <w:rPr>
                <w:sz w:val="20"/>
                <w:szCs w:val="20"/>
                <w:color w:val="auto"/>
              </w:rPr>
            </w:pPr>
            <w:r>
              <w:rPr>
                <w:rFonts w:ascii="Arial" w:cs="Arial" w:eastAsia="Arial" w:hAnsi="Arial"/>
                <w:sz w:val="13"/>
                <w:szCs w:val="13"/>
                <w:b w:val="1"/>
                <w:bCs w:val="1"/>
                <w:color w:val="FFFFFF"/>
                <w:w w:val="98"/>
              </w:rPr>
              <w:t>PEO ($)(1)</w:t>
            </w:r>
          </w:p>
        </w:tc>
        <w:tc>
          <w:tcPr>
            <w:tcW w:w="138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w w:val="95"/>
              </w:rPr>
              <w:t>to PEO ($)(1)(3)(5)</w:t>
            </w:r>
          </w:p>
        </w:tc>
        <w:tc>
          <w:tcPr>
            <w:tcW w:w="142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w w:val="87"/>
              </w:rPr>
              <w:t>(2)</w:t>
            </w:r>
          </w:p>
        </w:tc>
        <w:tc>
          <w:tcPr>
            <w:tcW w:w="130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w w:val="97"/>
              </w:rPr>
              <w:t>($)(2)(4)(5)</w:t>
            </w:r>
          </w:p>
        </w:tc>
        <w:tc>
          <w:tcPr>
            <w:tcW w:w="840" w:type="dxa"/>
            <w:vAlign w:val="bottom"/>
            <w:shd w:val="clear" w:color="auto" w:fill="1D3060"/>
          </w:tcPr>
          <w:p>
            <w:pPr>
              <w:jc w:val="right"/>
              <w:ind w:right="257"/>
              <w:spacing w:after="0"/>
              <w:rPr>
                <w:sz w:val="20"/>
                <w:szCs w:val="20"/>
                <w:color w:val="auto"/>
              </w:rPr>
            </w:pPr>
            <w:r>
              <w:rPr>
                <w:rFonts w:ascii="Arial" w:cs="Arial" w:eastAsia="Arial" w:hAnsi="Arial"/>
                <w:sz w:val="13"/>
                <w:szCs w:val="13"/>
                <w:b w:val="1"/>
                <w:bCs w:val="1"/>
                <w:color w:val="FFFFFF"/>
              </w:rPr>
              <w:t>($)(6)</w:t>
            </w:r>
          </w:p>
        </w:tc>
        <w:tc>
          <w:tcPr>
            <w:tcW w:w="1140" w:type="dxa"/>
            <w:vAlign w:val="bottom"/>
            <w:shd w:val="clear" w:color="auto" w:fill="1D3060"/>
          </w:tcPr>
          <w:p>
            <w:pPr>
              <w:jc w:val="right"/>
              <w:ind w:right="237"/>
              <w:spacing w:after="0"/>
              <w:rPr>
                <w:sz w:val="20"/>
                <w:szCs w:val="20"/>
                <w:color w:val="auto"/>
              </w:rPr>
            </w:pPr>
            <w:r>
              <w:rPr>
                <w:rFonts w:ascii="Arial" w:cs="Arial" w:eastAsia="Arial" w:hAnsi="Arial"/>
                <w:sz w:val="13"/>
                <w:szCs w:val="13"/>
                <w:b w:val="1"/>
                <w:bCs w:val="1"/>
                <w:color w:val="FFFFFF"/>
              </w:rPr>
              <w:t>TSR ($)(6)</w:t>
            </w:r>
          </w:p>
        </w:tc>
        <w:tc>
          <w:tcPr>
            <w:tcW w:w="1040" w:type="dxa"/>
            <w:vAlign w:val="bottom"/>
            <w:vMerge w:val="continue"/>
            <w:shd w:val="clear" w:color="auto" w:fill="1D3060"/>
          </w:tcPr>
          <w:p>
            <w:pPr>
              <w:spacing w:after="0"/>
              <w:rPr>
                <w:sz w:val="16"/>
                <w:szCs w:val="16"/>
                <w:color w:val="auto"/>
              </w:rPr>
            </w:pPr>
          </w:p>
        </w:tc>
        <w:tc>
          <w:tcPr>
            <w:tcW w:w="920" w:type="dxa"/>
            <w:vAlign w:val="bottom"/>
            <w:shd w:val="clear" w:color="auto" w:fill="1D3060"/>
          </w:tcPr>
          <w:p>
            <w:pPr>
              <w:jc w:val="center"/>
              <w:spacing w:after="0"/>
              <w:rPr>
                <w:sz w:val="20"/>
                <w:szCs w:val="20"/>
                <w:color w:val="auto"/>
              </w:rPr>
            </w:pPr>
            <w:r>
              <w:rPr>
                <w:rFonts w:ascii="Arial" w:cs="Arial" w:eastAsia="Arial" w:hAnsi="Arial"/>
                <w:sz w:val="13"/>
                <w:szCs w:val="13"/>
                <w:b w:val="1"/>
                <w:bCs w:val="1"/>
                <w:color w:val="FFFFFF"/>
                <w:w w:val="97"/>
              </w:rPr>
              <w:t>Revenue ($)</w:t>
            </w:r>
          </w:p>
        </w:tc>
        <w:tc>
          <w:tcPr>
            <w:tcW w:w="0" w:type="dxa"/>
            <w:vAlign w:val="bottom"/>
          </w:tcPr>
          <w:p>
            <w:pPr>
              <w:spacing w:after="0"/>
              <w:rPr>
                <w:sz w:val="1"/>
                <w:szCs w:val="1"/>
                <w:color w:val="auto"/>
              </w:rPr>
            </w:pPr>
          </w:p>
        </w:tc>
      </w:tr>
      <w:tr>
        <w:trPr>
          <w:trHeight w:val="216"/>
        </w:trPr>
        <w:tc>
          <w:tcPr>
            <w:tcW w:w="1700" w:type="dxa"/>
            <w:vAlign w:val="bottom"/>
            <w:shd w:val="clear" w:color="auto" w:fill="D7E8F5"/>
          </w:tcPr>
          <w:p>
            <w:pPr>
              <w:spacing w:after="0"/>
              <w:rPr>
                <w:sz w:val="20"/>
                <w:szCs w:val="20"/>
                <w:color w:val="auto"/>
              </w:rPr>
            </w:pPr>
            <w:r>
              <w:rPr>
                <w:rFonts w:ascii="Arial" w:cs="Arial" w:eastAsia="Arial" w:hAnsi="Arial"/>
                <w:sz w:val="13"/>
                <w:szCs w:val="13"/>
                <w:color w:val="auto"/>
              </w:rPr>
              <w:t>  2023</w:t>
            </w:r>
          </w:p>
        </w:tc>
        <w:tc>
          <w:tcPr>
            <w:tcW w:w="1280" w:type="dxa"/>
            <w:vAlign w:val="bottom"/>
            <w:gridSpan w:val="2"/>
            <w:shd w:val="clear" w:color="auto" w:fill="D7E8F5"/>
          </w:tcPr>
          <w:p>
            <w:pPr>
              <w:jc w:val="right"/>
              <w:ind w:right="77"/>
              <w:spacing w:after="0"/>
              <w:rPr>
                <w:sz w:val="20"/>
                <w:szCs w:val="20"/>
                <w:color w:val="auto"/>
              </w:rPr>
            </w:pPr>
            <w:r>
              <w:rPr>
                <w:rFonts w:ascii="Arial" w:cs="Arial" w:eastAsia="Arial" w:hAnsi="Arial"/>
                <w:sz w:val="13"/>
                <w:szCs w:val="13"/>
                <w:color w:val="auto"/>
              </w:rPr>
              <w:t>8,895,670</w:t>
            </w:r>
          </w:p>
        </w:tc>
        <w:tc>
          <w:tcPr>
            <w:tcW w:w="1380" w:type="dxa"/>
            <w:vAlign w:val="bottom"/>
            <w:shd w:val="clear" w:color="auto" w:fill="D7E8F5"/>
          </w:tcPr>
          <w:p>
            <w:pPr>
              <w:jc w:val="right"/>
              <w:ind w:right="97"/>
              <w:spacing w:after="0"/>
              <w:rPr>
                <w:sz w:val="20"/>
                <w:szCs w:val="20"/>
                <w:color w:val="auto"/>
              </w:rPr>
            </w:pPr>
            <w:r>
              <w:rPr>
                <w:rFonts w:ascii="Arial" w:cs="Arial" w:eastAsia="Arial" w:hAnsi="Arial"/>
                <w:sz w:val="13"/>
                <w:szCs w:val="13"/>
                <w:color w:val="auto"/>
              </w:rPr>
              <w:t>11,410,294</w:t>
            </w:r>
          </w:p>
        </w:tc>
        <w:tc>
          <w:tcPr>
            <w:tcW w:w="1420" w:type="dxa"/>
            <w:vAlign w:val="bottom"/>
            <w:shd w:val="clear" w:color="auto" w:fill="D7E8F5"/>
          </w:tcPr>
          <w:p>
            <w:pPr>
              <w:jc w:val="right"/>
              <w:ind w:right="97"/>
              <w:spacing w:after="0"/>
              <w:rPr>
                <w:sz w:val="20"/>
                <w:szCs w:val="20"/>
                <w:color w:val="auto"/>
              </w:rPr>
            </w:pPr>
            <w:r>
              <w:rPr>
                <w:rFonts w:ascii="Arial" w:cs="Arial" w:eastAsia="Arial" w:hAnsi="Arial"/>
                <w:sz w:val="13"/>
                <w:szCs w:val="13"/>
                <w:color w:val="auto"/>
              </w:rPr>
              <w:t>2,922,458</w:t>
            </w:r>
          </w:p>
        </w:tc>
        <w:tc>
          <w:tcPr>
            <w:tcW w:w="1300" w:type="dxa"/>
            <w:vAlign w:val="bottom"/>
            <w:shd w:val="clear" w:color="auto" w:fill="D7E8F5"/>
          </w:tcPr>
          <w:p>
            <w:pPr>
              <w:jc w:val="right"/>
              <w:ind w:right="137"/>
              <w:spacing w:after="0"/>
              <w:rPr>
                <w:sz w:val="20"/>
                <w:szCs w:val="20"/>
                <w:color w:val="auto"/>
              </w:rPr>
            </w:pPr>
            <w:r>
              <w:rPr>
                <w:rFonts w:ascii="Arial" w:cs="Arial" w:eastAsia="Arial" w:hAnsi="Arial"/>
                <w:sz w:val="13"/>
                <w:szCs w:val="13"/>
                <w:color w:val="auto"/>
              </w:rPr>
              <w:t>1,574,481</w:t>
            </w:r>
          </w:p>
        </w:tc>
        <w:tc>
          <w:tcPr>
            <w:tcW w:w="840" w:type="dxa"/>
            <w:vAlign w:val="bottom"/>
            <w:shd w:val="clear" w:color="auto" w:fill="D7E8F5"/>
          </w:tcPr>
          <w:p>
            <w:pPr>
              <w:jc w:val="right"/>
              <w:ind w:right="137"/>
              <w:spacing w:after="0"/>
              <w:rPr>
                <w:sz w:val="20"/>
                <w:szCs w:val="20"/>
                <w:color w:val="auto"/>
              </w:rPr>
            </w:pPr>
            <w:r>
              <w:rPr>
                <w:rFonts w:ascii="Arial" w:cs="Arial" w:eastAsia="Arial" w:hAnsi="Arial"/>
                <w:sz w:val="13"/>
                <w:szCs w:val="13"/>
                <w:color w:val="auto"/>
              </w:rPr>
              <w:t>166.20</w:t>
            </w:r>
          </w:p>
        </w:tc>
        <w:tc>
          <w:tcPr>
            <w:tcW w:w="1140" w:type="dxa"/>
            <w:vAlign w:val="bottom"/>
            <w:shd w:val="clear" w:color="auto" w:fill="D7E8F5"/>
          </w:tcPr>
          <w:p>
            <w:pPr>
              <w:jc w:val="right"/>
              <w:ind w:right="97"/>
              <w:spacing w:after="0"/>
              <w:rPr>
                <w:sz w:val="20"/>
                <w:szCs w:val="20"/>
                <w:color w:val="auto"/>
              </w:rPr>
            </w:pPr>
            <w:r>
              <w:rPr>
                <w:rFonts w:ascii="Arial" w:cs="Arial" w:eastAsia="Arial" w:hAnsi="Arial"/>
                <w:sz w:val="13"/>
                <w:szCs w:val="13"/>
                <w:color w:val="auto"/>
              </w:rPr>
              <w:t>118.87</w:t>
            </w:r>
          </w:p>
        </w:tc>
        <w:tc>
          <w:tcPr>
            <w:tcW w:w="1040" w:type="dxa"/>
            <w:vAlign w:val="bottom"/>
            <w:shd w:val="clear" w:color="auto" w:fill="D7E8F5"/>
          </w:tcPr>
          <w:p>
            <w:pPr>
              <w:jc w:val="right"/>
              <w:ind w:right="57"/>
              <w:spacing w:after="0"/>
              <w:rPr>
                <w:sz w:val="20"/>
                <w:szCs w:val="20"/>
                <w:color w:val="auto"/>
              </w:rPr>
            </w:pPr>
            <w:r>
              <w:rPr>
                <w:rFonts w:ascii="Arial" w:cs="Arial" w:eastAsia="Arial" w:hAnsi="Arial"/>
                <w:sz w:val="13"/>
                <w:szCs w:val="13"/>
                <w:color w:val="auto"/>
              </w:rPr>
              <w:t>(440,242)</w:t>
            </w:r>
          </w:p>
        </w:tc>
        <w:tc>
          <w:tcPr>
            <w:tcW w:w="920" w:type="dxa"/>
            <w:vAlign w:val="bottom"/>
            <w:shd w:val="clear" w:color="auto" w:fill="D7E8F5"/>
          </w:tcPr>
          <w:p>
            <w:pPr>
              <w:jc w:val="right"/>
              <w:ind w:right="37"/>
              <w:spacing w:after="0"/>
              <w:rPr>
                <w:sz w:val="20"/>
                <w:szCs w:val="20"/>
                <w:color w:val="auto"/>
              </w:rPr>
            </w:pPr>
            <w:r>
              <w:rPr>
                <w:rFonts w:ascii="Arial" w:cs="Arial" w:eastAsia="Arial" w:hAnsi="Arial"/>
                <w:sz w:val="13"/>
                <w:szCs w:val="13"/>
                <w:color w:val="auto"/>
              </w:rPr>
              <w:t>1,241,474</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20"/>
                <w:szCs w:val="20"/>
                <w:color w:val="auto"/>
              </w:rPr>
            </w:pPr>
            <w:r>
              <w:rPr>
                <w:rFonts w:ascii="Arial" w:cs="Arial" w:eastAsia="Arial" w:hAnsi="Arial"/>
                <w:sz w:val="13"/>
                <w:szCs w:val="13"/>
                <w:color w:val="auto"/>
              </w:rPr>
              <w:t>  2022</w:t>
            </w:r>
          </w:p>
        </w:tc>
        <w:tc>
          <w:tcPr>
            <w:tcW w:w="1280" w:type="dxa"/>
            <w:vAlign w:val="bottom"/>
            <w:gridSpan w:val="2"/>
          </w:tcPr>
          <w:p>
            <w:pPr>
              <w:jc w:val="right"/>
              <w:ind w:right="77"/>
              <w:spacing w:after="0"/>
              <w:rPr>
                <w:sz w:val="20"/>
                <w:szCs w:val="20"/>
                <w:color w:val="auto"/>
              </w:rPr>
            </w:pPr>
            <w:r>
              <w:rPr>
                <w:rFonts w:ascii="Arial" w:cs="Arial" w:eastAsia="Arial" w:hAnsi="Arial"/>
                <w:sz w:val="13"/>
                <w:szCs w:val="13"/>
                <w:color w:val="auto"/>
              </w:rPr>
              <w:t>4,588,810</w:t>
            </w:r>
          </w:p>
        </w:tc>
        <w:tc>
          <w:tcPr>
            <w:tcW w:w="1380" w:type="dxa"/>
            <w:vAlign w:val="bottom"/>
          </w:tcPr>
          <w:p>
            <w:pPr>
              <w:jc w:val="right"/>
              <w:ind w:right="97"/>
              <w:spacing w:after="0"/>
              <w:rPr>
                <w:sz w:val="20"/>
                <w:szCs w:val="20"/>
                <w:color w:val="auto"/>
              </w:rPr>
            </w:pPr>
            <w:r>
              <w:rPr>
                <w:rFonts w:ascii="Arial" w:cs="Arial" w:eastAsia="Arial" w:hAnsi="Arial"/>
                <w:sz w:val="13"/>
                <w:szCs w:val="13"/>
                <w:color w:val="auto"/>
              </w:rPr>
              <w:t>19,043,460</w:t>
            </w:r>
          </w:p>
        </w:tc>
        <w:tc>
          <w:tcPr>
            <w:tcW w:w="1420" w:type="dxa"/>
            <w:vAlign w:val="bottom"/>
          </w:tcPr>
          <w:p>
            <w:pPr>
              <w:jc w:val="right"/>
              <w:ind w:right="97"/>
              <w:spacing w:after="0"/>
              <w:rPr>
                <w:sz w:val="20"/>
                <w:szCs w:val="20"/>
                <w:color w:val="auto"/>
              </w:rPr>
            </w:pPr>
            <w:r>
              <w:rPr>
                <w:rFonts w:ascii="Arial" w:cs="Arial" w:eastAsia="Arial" w:hAnsi="Arial"/>
                <w:sz w:val="13"/>
                <w:szCs w:val="13"/>
                <w:color w:val="auto"/>
              </w:rPr>
              <w:t>3,580,510</w:t>
            </w:r>
          </w:p>
        </w:tc>
        <w:tc>
          <w:tcPr>
            <w:tcW w:w="1300" w:type="dxa"/>
            <w:vAlign w:val="bottom"/>
          </w:tcPr>
          <w:p>
            <w:pPr>
              <w:jc w:val="right"/>
              <w:ind w:right="137"/>
              <w:spacing w:after="0"/>
              <w:rPr>
                <w:sz w:val="20"/>
                <w:szCs w:val="20"/>
                <w:color w:val="auto"/>
              </w:rPr>
            </w:pPr>
            <w:r>
              <w:rPr>
                <w:rFonts w:ascii="Arial" w:cs="Arial" w:eastAsia="Arial" w:hAnsi="Arial"/>
                <w:sz w:val="13"/>
                <w:szCs w:val="13"/>
                <w:color w:val="auto"/>
              </w:rPr>
              <w:t>12,601,300</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206.35</w:t>
            </w: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113.65</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(1,131,156)</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894,329</w:t>
            </w:r>
          </w:p>
        </w:tc>
        <w:tc>
          <w:tcPr>
            <w:tcW w:w="0" w:type="dxa"/>
            <w:vAlign w:val="bottom"/>
          </w:tcPr>
          <w:p>
            <w:pPr>
              <w:spacing w:after="0"/>
              <w:rPr>
                <w:sz w:val="1"/>
                <w:szCs w:val="1"/>
                <w:color w:val="auto"/>
              </w:rPr>
            </w:pPr>
          </w:p>
        </w:tc>
      </w:tr>
      <w:tr>
        <w:trPr>
          <w:trHeight w:val="223"/>
        </w:trPr>
        <w:tc>
          <w:tcPr>
            <w:tcW w:w="1700" w:type="dxa"/>
            <w:vAlign w:val="bottom"/>
            <w:shd w:val="clear" w:color="auto" w:fill="D7E8F5"/>
          </w:tcPr>
          <w:p>
            <w:pPr>
              <w:spacing w:after="0"/>
              <w:rPr>
                <w:sz w:val="20"/>
                <w:szCs w:val="20"/>
                <w:color w:val="auto"/>
              </w:rPr>
            </w:pPr>
            <w:r>
              <w:rPr>
                <w:rFonts w:ascii="Arial" w:cs="Arial" w:eastAsia="Arial" w:hAnsi="Arial"/>
                <w:sz w:val="13"/>
                <w:szCs w:val="13"/>
                <w:color w:val="auto"/>
              </w:rPr>
              <w:t>  2021</w:t>
            </w:r>
          </w:p>
        </w:tc>
        <w:tc>
          <w:tcPr>
            <w:tcW w:w="1280" w:type="dxa"/>
            <w:vAlign w:val="bottom"/>
            <w:gridSpan w:val="2"/>
            <w:shd w:val="clear" w:color="auto" w:fill="D7E8F5"/>
          </w:tcPr>
          <w:p>
            <w:pPr>
              <w:jc w:val="right"/>
              <w:ind w:right="77"/>
              <w:spacing w:after="0"/>
              <w:rPr>
                <w:sz w:val="20"/>
                <w:szCs w:val="20"/>
                <w:color w:val="auto"/>
              </w:rPr>
            </w:pPr>
            <w:r>
              <w:rPr>
                <w:rFonts w:ascii="Arial" w:cs="Arial" w:eastAsia="Arial" w:hAnsi="Arial"/>
                <w:sz w:val="13"/>
                <w:szCs w:val="13"/>
                <w:color w:val="auto"/>
              </w:rPr>
              <w:t>10,176,685</w:t>
            </w:r>
          </w:p>
        </w:tc>
        <w:tc>
          <w:tcPr>
            <w:tcW w:w="1380" w:type="dxa"/>
            <w:vAlign w:val="bottom"/>
            <w:shd w:val="clear" w:color="auto" w:fill="D7E8F5"/>
          </w:tcPr>
          <w:p>
            <w:pPr>
              <w:jc w:val="right"/>
              <w:ind w:right="97"/>
              <w:spacing w:after="0"/>
              <w:rPr>
                <w:sz w:val="20"/>
                <w:szCs w:val="20"/>
                <w:color w:val="auto"/>
              </w:rPr>
            </w:pPr>
            <w:r>
              <w:rPr>
                <w:rFonts w:ascii="Arial" w:cs="Arial" w:eastAsia="Arial" w:hAnsi="Arial"/>
                <w:sz w:val="13"/>
                <w:szCs w:val="13"/>
                <w:color w:val="auto"/>
              </w:rPr>
              <w:t>17,514,345</w:t>
            </w:r>
          </w:p>
        </w:tc>
        <w:tc>
          <w:tcPr>
            <w:tcW w:w="1420" w:type="dxa"/>
            <w:vAlign w:val="bottom"/>
            <w:shd w:val="clear" w:color="auto" w:fill="D7E8F5"/>
          </w:tcPr>
          <w:p>
            <w:pPr>
              <w:jc w:val="right"/>
              <w:ind w:right="97"/>
              <w:spacing w:after="0"/>
              <w:rPr>
                <w:sz w:val="20"/>
                <w:szCs w:val="20"/>
                <w:color w:val="auto"/>
              </w:rPr>
            </w:pPr>
            <w:r>
              <w:rPr>
                <w:rFonts w:ascii="Arial" w:cs="Arial" w:eastAsia="Arial" w:hAnsi="Arial"/>
                <w:sz w:val="13"/>
                <w:szCs w:val="13"/>
                <w:color w:val="auto"/>
              </w:rPr>
              <w:t>5,918,910</w:t>
            </w:r>
          </w:p>
        </w:tc>
        <w:tc>
          <w:tcPr>
            <w:tcW w:w="1300" w:type="dxa"/>
            <w:vAlign w:val="bottom"/>
            <w:shd w:val="clear" w:color="auto" w:fill="D7E8F5"/>
          </w:tcPr>
          <w:p>
            <w:pPr>
              <w:jc w:val="right"/>
              <w:ind w:right="137"/>
              <w:spacing w:after="0"/>
              <w:rPr>
                <w:sz w:val="20"/>
                <w:szCs w:val="20"/>
                <w:color w:val="auto"/>
              </w:rPr>
            </w:pPr>
            <w:r>
              <w:rPr>
                <w:rFonts w:ascii="Arial" w:cs="Arial" w:eastAsia="Arial" w:hAnsi="Arial"/>
                <w:sz w:val="13"/>
                <w:szCs w:val="13"/>
                <w:color w:val="auto"/>
              </w:rPr>
              <w:t>10,714,290</w:t>
            </w:r>
          </w:p>
        </w:tc>
        <w:tc>
          <w:tcPr>
            <w:tcW w:w="840" w:type="dxa"/>
            <w:vAlign w:val="bottom"/>
            <w:shd w:val="clear" w:color="auto" w:fill="D7E8F5"/>
          </w:tcPr>
          <w:p>
            <w:pPr>
              <w:jc w:val="right"/>
              <w:ind w:right="137"/>
              <w:spacing w:after="0"/>
              <w:rPr>
                <w:sz w:val="20"/>
                <w:szCs w:val="20"/>
                <w:color w:val="auto"/>
              </w:rPr>
            </w:pPr>
            <w:r>
              <w:rPr>
                <w:rFonts w:ascii="Arial" w:cs="Arial" w:eastAsia="Arial" w:hAnsi="Arial"/>
                <w:sz w:val="13"/>
                <w:szCs w:val="13"/>
                <w:color w:val="auto"/>
              </w:rPr>
              <w:t>147.24</w:t>
            </w:r>
          </w:p>
        </w:tc>
        <w:tc>
          <w:tcPr>
            <w:tcW w:w="1140" w:type="dxa"/>
            <w:vAlign w:val="bottom"/>
            <w:shd w:val="clear" w:color="auto" w:fill="D7E8F5"/>
          </w:tcPr>
          <w:p>
            <w:pPr>
              <w:jc w:val="right"/>
              <w:ind w:right="97"/>
              <w:spacing w:after="0"/>
              <w:rPr>
                <w:sz w:val="20"/>
                <w:szCs w:val="20"/>
                <w:color w:val="auto"/>
              </w:rPr>
            </w:pPr>
            <w:r>
              <w:rPr>
                <w:rFonts w:ascii="Arial" w:cs="Arial" w:eastAsia="Arial" w:hAnsi="Arial"/>
                <w:sz w:val="13"/>
                <w:szCs w:val="13"/>
                <w:color w:val="auto"/>
              </w:rPr>
              <w:t>126.45</w:t>
            </w:r>
          </w:p>
        </w:tc>
        <w:tc>
          <w:tcPr>
            <w:tcW w:w="1040" w:type="dxa"/>
            <w:vAlign w:val="bottom"/>
            <w:shd w:val="clear" w:color="auto" w:fill="D7E8F5"/>
          </w:tcPr>
          <w:p>
            <w:pPr>
              <w:jc w:val="right"/>
              <w:ind w:right="57"/>
              <w:spacing w:after="0"/>
              <w:rPr>
                <w:sz w:val="20"/>
                <w:szCs w:val="20"/>
                <w:color w:val="auto"/>
              </w:rPr>
            </w:pPr>
            <w:r>
              <w:rPr>
                <w:rFonts w:ascii="Arial" w:cs="Arial" w:eastAsia="Arial" w:hAnsi="Arial"/>
                <w:sz w:val="13"/>
                <w:szCs w:val="13"/>
                <w:color w:val="auto"/>
              </w:rPr>
              <w:t>(852,824)</w:t>
            </w:r>
          </w:p>
        </w:tc>
        <w:tc>
          <w:tcPr>
            <w:tcW w:w="920" w:type="dxa"/>
            <w:vAlign w:val="bottom"/>
            <w:shd w:val="clear" w:color="auto" w:fill="D7E8F5"/>
          </w:tcPr>
          <w:p>
            <w:pPr>
              <w:jc w:val="right"/>
              <w:ind w:right="37"/>
              <w:spacing w:after="0"/>
              <w:rPr>
                <w:sz w:val="20"/>
                <w:szCs w:val="20"/>
                <w:color w:val="auto"/>
              </w:rPr>
            </w:pPr>
            <w:r>
              <w:rPr>
                <w:rFonts w:ascii="Arial" w:cs="Arial" w:eastAsia="Arial" w:hAnsi="Arial"/>
                <w:sz w:val="13"/>
                <w:szCs w:val="13"/>
                <w:color w:val="auto"/>
              </w:rPr>
              <w:t>662,138</w:t>
            </w:r>
          </w:p>
        </w:tc>
        <w:tc>
          <w:tcPr>
            <w:tcW w:w="0" w:type="dxa"/>
            <w:vAlign w:val="bottom"/>
          </w:tcPr>
          <w:p>
            <w:pPr>
              <w:spacing w:after="0"/>
              <w:rPr>
                <w:sz w:val="1"/>
                <w:szCs w:val="1"/>
                <w:color w:val="auto"/>
              </w:rPr>
            </w:pPr>
          </w:p>
        </w:tc>
      </w:tr>
      <w:tr>
        <w:trPr>
          <w:trHeight w:val="210"/>
        </w:trPr>
        <w:tc>
          <w:tcPr>
            <w:tcW w:w="1700" w:type="dxa"/>
            <w:vAlign w:val="bottom"/>
            <w:tcBorders>
              <w:bottom w:val="single" w:sz="8" w:color="2275B5"/>
            </w:tcBorders>
          </w:tcPr>
          <w:p>
            <w:pPr>
              <w:spacing w:after="0"/>
              <w:rPr>
                <w:sz w:val="20"/>
                <w:szCs w:val="20"/>
                <w:color w:val="auto"/>
              </w:rPr>
            </w:pPr>
            <w:r>
              <w:rPr>
                <w:rFonts w:ascii="Arial" w:cs="Arial" w:eastAsia="Arial" w:hAnsi="Arial"/>
                <w:sz w:val="13"/>
                <w:szCs w:val="13"/>
                <w:color w:val="auto"/>
              </w:rPr>
              <w:t>  2020</w:t>
            </w:r>
          </w:p>
        </w:tc>
        <w:tc>
          <w:tcPr>
            <w:tcW w:w="1280" w:type="dxa"/>
            <w:vAlign w:val="bottom"/>
            <w:tcBorders>
              <w:bottom w:val="single" w:sz="8" w:color="2275B5"/>
            </w:tcBorders>
            <w:gridSpan w:val="2"/>
          </w:tcPr>
          <w:p>
            <w:pPr>
              <w:jc w:val="right"/>
              <w:ind w:right="77"/>
              <w:spacing w:after="0"/>
              <w:rPr>
                <w:sz w:val="20"/>
                <w:szCs w:val="20"/>
                <w:color w:val="auto"/>
              </w:rPr>
            </w:pPr>
            <w:r>
              <w:rPr>
                <w:rFonts w:ascii="Arial" w:cs="Arial" w:eastAsia="Arial" w:hAnsi="Arial"/>
                <w:sz w:val="13"/>
                <w:szCs w:val="13"/>
                <w:color w:val="auto"/>
              </w:rPr>
              <w:t>7,818,164</w:t>
            </w:r>
          </w:p>
        </w:tc>
        <w:tc>
          <w:tcPr>
            <w:tcW w:w="1380" w:type="dxa"/>
            <w:vAlign w:val="bottom"/>
            <w:tcBorders>
              <w:bottom w:val="single" w:sz="8" w:color="2275B5"/>
            </w:tcBorders>
          </w:tcPr>
          <w:p>
            <w:pPr>
              <w:jc w:val="right"/>
              <w:ind w:right="97"/>
              <w:spacing w:after="0"/>
              <w:rPr>
                <w:sz w:val="20"/>
                <w:szCs w:val="20"/>
                <w:color w:val="auto"/>
              </w:rPr>
            </w:pPr>
            <w:r>
              <w:rPr>
                <w:rFonts w:ascii="Arial" w:cs="Arial" w:eastAsia="Arial" w:hAnsi="Arial"/>
                <w:sz w:val="13"/>
                <w:szCs w:val="13"/>
                <w:color w:val="auto"/>
              </w:rPr>
              <w:t>10,766,569</w:t>
            </w:r>
          </w:p>
        </w:tc>
        <w:tc>
          <w:tcPr>
            <w:tcW w:w="1420" w:type="dxa"/>
            <w:vAlign w:val="bottom"/>
            <w:tcBorders>
              <w:bottom w:val="single" w:sz="8" w:color="2275B5"/>
            </w:tcBorders>
          </w:tcPr>
          <w:p>
            <w:pPr>
              <w:jc w:val="right"/>
              <w:ind w:right="97"/>
              <w:spacing w:after="0"/>
              <w:rPr>
                <w:sz w:val="20"/>
                <w:szCs w:val="20"/>
                <w:color w:val="auto"/>
              </w:rPr>
            </w:pPr>
            <w:r>
              <w:rPr>
                <w:rFonts w:ascii="Arial" w:cs="Arial" w:eastAsia="Arial" w:hAnsi="Arial"/>
                <w:sz w:val="13"/>
                <w:szCs w:val="13"/>
                <w:color w:val="auto"/>
              </w:rPr>
              <w:t>4,240,550</w:t>
            </w:r>
          </w:p>
        </w:tc>
        <w:tc>
          <w:tcPr>
            <w:tcW w:w="1300" w:type="dxa"/>
            <w:vAlign w:val="bottom"/>
            <w:tcBorders>
              <w:bottom w:val="single" w:sz="8" w:color="2275B5"/>
            </w:tcBorders>
          </w:tcPr>
          <w:p>
            <w:pPr>
              <w:jc w:val="right"/>
              <w:ind w:right="137"/>
              <w:spacing w:after="0"/>
              <w:rPr>
                <w:sz w:val="20"/>
                <w:szCs w:val="20"/>
                <w:color w:val="auto"/>
              </w:rPr>
            </w:pPr>
            <w:r>
              <w:rPr>
                <w:rFonts w:ascii="Arial" w:cs="Arial" w:eastAsia="Arial" w:hAnsi="Arial"/>
                <w:sz w:val="13"/>
                <w:szCs w:val="13"/>
                <w:color w:val="auto"/>
              </w:rPr>
              <w:t>4,221,270</w:t>
            </w:r>
          </w:p>
        </w:tc>
        <w:tc>
          <w:tcPr>
            <w:tcW w:w="840" w:type="dxa"/>
            <w:vAlign w:val="bottom"/>
            <w:tcBorders>
              <w:bottom w:val="single" w:sz="8" w:color="2275B5"/>
            </w:tcBorders>
          </w:tcPr>
          <w:p>
            <w:pPr>
              <w:jc w:val="right"/>
              <w:ind w:right="137"/>
              <w:spacing w:after="0"/>
              <w:rPr>
                <w:sz w:val="20"/>
                <w:szCs w:val="20"/>
                <w:color w:val="auto"/>
              </w:rPr>
            </w:pPr>
            <w:r>
              <w:rPr>
                <w:rFonts w:ascii="Arial" w:cs="Arial" w:eastAsia="Arial" w:hAnsi="Arial"/>
                <w:sz w:val="13"/>
                <w:szCs w:val="13"/>
                <w:color w:val="auto"/>
              </w:rPr>
              <w:t>112.85</w:t>
            </w:r>
          </w:p>
        </w:tc>
        <w:tc>
          <w:tcPr>
            <w:tcW w:w="1140" w:type="dxa"/>
            <w:vAlign w:val="bottom"/>
            <w:tcBorders>
              <w:bottom w:val="single" w:sz="8" w:color="2275B5"/>
            </w:tcBorders>
          </w:tcPr>
          <w:p>
            <w:pPr>
              <w:jc w:val="right"/>
              <w:ind w:right="97"/>
              <w:spacing w:after="0"/>
              <w:rPr>
                <w:sz w:val="20"/>
                <w:szCs w:val="20"/>
                <w:color w:val="auto"/>
              </w:rPr>
            </w:pPr>
            <w:r>
              <w:rPr>
                <w:rFonts w:ascii="Arial" w:cs="Arial" w:eastAsia="Arial" w:hAnsi="Arial"/>
                <w:sz w:val="13"/>
                <w:szCs w:val="13"/>
                <w:color w:val="auto"/>
              </w:rPr>
              <w:t>126.42</w:t>
            </w:r>
          </w:p>
        </w:tc>
        <w:tc>
          <w:tcPr>
            <w:tcW w:w="1040" w:type="dxa"/>
            <w:vAlign w:val="bottom"/>
            <w:tcBorders>
              <w:bottom w:val="single" w:sz="8" w:color="2275B5"/>
            </w:tcBorders>
          </w:tcPr>
          <w:p>
            <w:pPr>
              <w:jc w:val="right"/>
              <w:ind w:right="57"/>
              <w:spacing w:after="0"/>
              <w:rPr>
                <w:sz w:val="20"/>
                <w:szCs w:val="20"/>
                <w:color w:val="auto"/>
              </w:rPr>
            </w:pPr>
            <w:r>
              <w:rPr>
                <w:rFonts w:ascii="Arial" w:cs="Arial" w:eastAsia="Arial" w:hAnsi="Arial"/>
                <w:sz w:val="13"/>
                <w:szCs w:val="13"/>
                <w:color w:val="auto"/>
              </w:rPr>
              <w:t>(858,281)</w:t>
            </w:r>
          </w:p>
        </w:tc>
        <w:tc>
          <w:tcPr>
            <w:tcW w:w="920" w:type="dxa"/>
            <w:vAlign w:val="bottom"/>
            <w:tcBorders>
              <w:bottom w:val="single" w:sz="8" w:color="2275B5"/>
            </w:tcBorders>
          </w:tcPr>
          <w:p>
            <w:pPr>
              <w:jc w:val="right"/>
              <w:ind w:right="37"/>
              <w:spacing w:after="0"/>
              <w:rPr>
                <w:sz w:val="20"/>
                <w:szCs w:val="20"/>
                <w:color w:val="auto"/>
              </w:rPr>
            </w:pPr>
            <w:r>
              <w:rPr>
                <w:rFonts w:ascii="Arial" w:cs="Arial" w:eastAsia="Arial" w:hAnsi="Arial"/>
                <w:sz w:val="13"/>
                <w:szCs w:val="13"/>
                <w:color w:val="auto"/>
              </w:rPr>
              <w:t>361,520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880" w:hanging="332"/>
        <w:spacing w:after="0"/>
        <w:tabs>
          <w:tab w:leader="none" w:pos="8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2023 and 2022, our PEO was Yvonne L. Greenstreet, MBChB, MBA. For 2021 and 2020, our PEO was John M. Maraganore, Ph.D.</w:t>
      </w:r>
    </w:p>
    <w:p>
      <w:pPr>
        <w:spacing w:after="0" w:line="244" w:lineRule="exact"/>
        <w:rPr>
          <w:rFonts w:ascii="Arial" w:cs="Arial" w:eastAsia="Arial" w:hAnsi="Arial"/>
          <w:sz w:val="14"/>
          <w:szCs w:val="14"/>
          <w:color w:val="auto"/>
        </w:rPr>
      </w:pPr>
    </w:p>
    <w:p>
      <w:pPr>
        <w:ind w:left="880" w:right="160" w:hanging="332"/>
        <w:spacing w:after="0" w:line="263" w:lineRule="auto"/>
        <w:tabs>
          <w:tab w:leader="none" w:pos="8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2023, our non-PEO NEOs were Jeffrey V. Poulton, Pushkal P. Garg, M.D., Tolga Tanguler, Indrani L. Franchini, J.D., and Akshay K. Vaishnaw, M.D., Ph.D. For 2022, our non-PEO NEOs were Dr. Vaishnaw, Mr. Poulton, Dr. Garg, and Ms. Franchini. For 2021, our non-PEO NEOs were Dr. Greenstreet, Dr. Vaishnaw, Mr. Poulton, and Mr. Tanguler. For 2020, our non-PEO NEOs were Dr. Greenstreet, Dr. Vaishnaw, Mr. Poulton, Laurie B. Keating, and Barry E. Greene.</w:t>
      </w:r>
    </w:p>
    <w:p>
      <w:pPr>
        <w:spacing w:after="0" w:line="199" w:lineRule="exact"/>
        <w:rPr>
          <w:rFonts w:ascii="Arial" w:cs="Arial" w:eastAsia="Arial" w:hAnsi="Arial"/>
          <w:sz w:val="14"/>
          <w:szCs w:val="14"/>
          <w:color w:val="auto"/>
        </w:rPr>
      </w:pPr>
    </w:p>
    <w:p>
      <w:pPr>
        <w:ind w:left="880" w:right="100" w:hanging="332"/>
        <w:spacing w:after="0" w:line="285" w:lineRule="auto"/>
        <w:tabs>
          <w:tab w:leader="none" w:pos="8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Following is a summary of the adjustments made to PEO compensation as reported in the Summary Compensation Table to determine PEO CAP as reported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123190</wp:posOffset>
            </wp:positionV>
            <wp:extent cx="3909060" cy="1631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909060"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Compensation Reported in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3909060" cy="2228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909060" cy="22288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LESS: the grant date fair value of equity awards granted in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3909060" cy="3517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909060" cy="351790"/>
                    </a:xfrm>
                    <a:prstGeom prst="rect">
                      <a:avLst/>
                    </a:prstGeom>
                    <a:noFill/>
                  </pic:spPr>
                </pic:pic>
              </a:graphicData>
            </a:graphic>
          </wp:anchor>
        </w:drawing>
      </w:r>
    </w:p>
    <w:p>
      <w:pPr>
        <w:spacing w:after="0" w:line="136" w:lineRule="exact"/>
        <w:rPr>
          <w:sz w:val="20"/>
          <w:szCs w:val="20"/>
          <w:color w:val="auto"/>
        </w:rPr>
      </w:pPr>
    </w:p>
    <w:p>
      <w:pPr>
        <w:ind w:left="300" w:right="380" w:hanging="179"/>
        <w:spacing w:after="0" w:line="271" w:lineRule="auto"/>
        <w:rPr>
          <w:sz w:val="20"/>
          <w:szCs w:val="20"/>
          <w:color w:val="auto"/>
        </w:rPr>
      </w:pPr>
      <w:r>
        <w:rPr>
          <w:rFonts w:ascii="Arial" w:cs="Arial" w:eastAsia="Arial" w:hAnsi="Arial"/>
          <w:sz w:val="18"/>
          <w:szCs w:val="18"/>
          <w:color w:val="auto"/>
        </w:rPr>
        <w:t>ADD: the year-end fair value of outstanding and unvested equity awards granted in the year indicated (a)</w:t>
      </w:r>
    </w:p>
    <w:p>
      <w:pPr>
        <w:spacing w:after="0" w:line="86" w:lineRule="exact"/>
        <w:rPr>
          <w:sz w:val="20"/>
          <w:szCs w:val="20"/>
          <w:color w:val="auto"/>
        </w:rPr>
      </w:pPr>
    </w:p>
    <w:p>
      <w:pPr>
        <w:ind w:left="300" w:right="180" w:hanging="179"/>
        <w:spacing w:after="0" w:line="247" w:lineRule="auto"/>
        <w:rPr>
          <w:sz w:val="20"/>
          <w:szCs w:val="20"/>
          <w:color w:val="auto"/>
        </w:rPr>
      </w:pPr>
      <w:r>
        <w:rPr>
          <w:rFonts w:ascii="Arial" w:cs="Arial" w:eastAsia="Arial" w:hAnsi="Arial"/>
          <w:sz w:val="18"/>
          <w:szCs w:val="18"/>
          <w:color w:val="auto"/>
        </w:rPr>
        <w:t>ADD: the change in fair value of equity awards granted in years prior to the year indicated that were outstanding and unvested at the end of the year indicated (as compared to fair value at the end of the immediately prior year)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3909060" cy="4629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909060" cy="462915"/>
                    </a:xfrm>
                    <a:prstGeom prst="rect">
                      <a:avLst/>
                    </a:prstGeom>
                    <a:noFill/>
                  </pic:spPr>
                </pic:pic>
              </a:graphicData>
            </a:graphic>
          </wp:anchor>
        </w:drawing>
      </w:r>
    </w:p>
    <w:p>
      <w:pPr>
        <w:spacing w:after="0" w:line="86" w:lineRule="exact"/>
        <w:rPr>
          <w:sz w:val="20"/>
          <w:szCs w:val="20"/>
          <w:color w:val="auto"/>
        </w:rPr>
      </w:pPr>
    </w:p>
    <w:p>
      <w:pPr>
        <w:jc w:val="both"/>
        <w:ind w:left="300" w:right="180" w:hanging="179"/>
        <w:spacing w:after="0" w:line="253" w:lineRule="auto"/>
        <w:rPr>
          <w:sz w:val="20"/>
          <w:szCs w:val="20"/>
          <w:color w:val="auto"/>
        </w:rPr>
      </w:pPr>
      <w:r>
        <w:rPr>
          <w:rFonts w:ascii="Arial" w:cs="Arial" w:eastAsia="Arial" w:hAnsi="Arial"/>
          <w:sz w:val="18"/>
          <w:szCs w:val="18"/>
          <w:color w:val="auto"/>
        </w:rPr>
        <w:t>ADD: the change in fair value of equity awards granted in years prior to the year indicated that vested in the year indicated (fair value at vesting date as compared to the end of the immediately prior year) (a)</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(Net)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69951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080" w:type="dxa"/>
            <w:vAlign w:val="bottom"/>
            <w:gridSpan w:val="2"/>
            <w:shd w:val="clear" w:color="auto" w:fill="1D3060"/>
          </w:tcPr>
          <w:p>
            <w:pPr>
              <w:jc w:val="right"/>
              <w:ind w:right="210"/>
              <w:spacing w:after="0"/>
              <w:rPr>
                <w:sz w:val="20"/>
                <w:szCs w:val="20"/>
                <w:color w:val="auto"/>
              </w:rPr>
            </w:pPr>
            <w:r>
              <w:rPr>
                <w:rFonts w:ascii="Arial" w:cs="Arial" w:eastAsia="Arial" w:hAnsi="Arial"/>
                <w:sz w:val="18"/>
                <w:szCs w:val="18"/>
                <w:b w:val="1"/>
                <w:bCs w:val="1"/>
                <w:color w:val="FFFFFF"/>
              </w:rPr>
              <w:t>2023</w:t>
            </w:r>
          </w:p>
        </w:tc>
        <w:tc>
          <w:tcPr>
            <w:tcW w:w="220" w:type="dxa"/>
            <w:vAlign w:val="bottom"/>
            <w:shd w:val="clear" w:color="auto" w:fill="1D3060"/>
          </w:tcPr>
          <w:p>
            <w:pPr>
              <w:spacing w:after="0"/>
              <w:rPr>
                <w:sz w:val="22"/>
                <w:szCs w:val="22"/>
                <w:color w:val="auto"/>
              </w:rPr>
            </w:pPr>
          </w:p>
        </w:tc>
        <w:tc>
          <w:tcPr>
            <w:tcW w:w="1000" w:type="dxa"/>
            <w:vAlign w:val="bottom"/>
            <w:shd w:val="clear" w:color="auto" w:fill="1D3060"/>
          </w:tcPr>
          <w:p>
            <w:pPr>
              <w:jc w:val="right"/>
              <w:ind w:right="210"/>
              <w:spacing w:after="0"/>
              <w:rPr>
                <w:sz w:val="20"/>
                <w:szCs w:val="20"/>
                <w:color w:val="auto"/>
              </w:rPr>
            </w:pPr>
            <w:r>
              <w:rPr>
                <w:rFonts w:ascii="Arial" w:cs="Arial" w:eastAsia="Arial" w:hAnsi="Arial"/>
                <w:sz w:val="18"/>
                <w:szCs w:val="18"/>
                <w:b w:val="1"/>
                <w:bCs w:val="1"/>
                <w:color w:val="FFFFFF"/>
              </w:rPr>
              <w:t>2022</w:t>
            </w:r>
          </w:p>
        </w:tc>
        <w:tc>
          <w:tcPr>
            <w:tcW w:w="220" w:type="dxa"/>
            <w:vAlign w:val="bottom"/>
            <w:shd w:val="clear" w:color="auto" w:fill="1D3060"/>
          </w:tcPr>
          <w:p>
            <w:pPr>
              <w:spacing w:after="0"/>
              <w:rPr>
                <w:sz w:val="22"/>
                <w:szCs w:val="22"/>
                <w:color w:val="auto"/>
              </w:rPr>
            </w:pPr>
          </w:p>
        </w:tc>
        <w:tc>
          <w:tcPr>
            <w:tcW w:w="1000" w:type="dxa"/>
            <w:vAlign w:val="bottom"/>
            <w:shd w:val="clear" w:color="auto" w:fill="1D3060"/>
          </w:tcPr>
          <w:p>
            <w:pPr>
              <w:jc w:val="right"/>
              <w:ind w:right="210"/>
              <w:spacing w:after="0"/>
              <w:rPr>
                <w:sz w:val="20"/>
                <w:szCs w:val="20"/>
                <w:color w:val="auto"/>
              </w:rPr>
            </w:pPr>
            <w:r>
              <w:rPr>
                <w:rFonts w:ascii="Arial" w:cs="Arial" w:eastAsia="Arial" w:hAnsi="Arial"/>
                <w:sz w:val="18"/>
                <w:szCs w:val="18"/>
                <w:b w:val="1"/>
                <w:bCs w:val="1"/>
                <w:color w:val="FFFFFF"/>
              </w:rPr>
              <w:t>2021</w:t>
            </w:r>
          </w:p>
        </w:tc>
        <w:tc>
          <w:tcPr>
            <w:tcW w:w="180" w:type="dxa"/>
            <w:vAlign w:val="bottom"/>
            <w:shd w:val="clear" w:color="auto" w:fill="1D3060"/>
          </w:tcPr>
          <w:p>
            <w:pPr>
              <w:spacing w:after="0"/>
              <w:rPr>
                <w:sz w:val="22"/>
                <w:szCs w:val="22"/>
                <w:color w:val="auto"/>
              </w:rPr>
            </w:pPr>
          </w:p>
        </w:tc>
        <w:tc>
          <w:tcPr>
            <w:tcW w:w="1040" w:type="dxa"/>
            <w:vAlign w:val="bottom"/>
            <w:shd w:val="clear" w:color="auto" w:fill="1D3060"/>
          </w:tcPr>
          <w:p>
            <w:pPr>
              <w:jc w:val="right"/>
              <w:ind w:right="230"/>
              <w:spacing w:after="0"/>
              <w:rPr>
                <w:sz w:val="20"/>
                <w:szCs w:val="20"/>
                <w:color w:val="auto"/>
              </w:rPr>
            </w:pPr>
            <w:r>
              <w:rPr>
                <w:rFonts w:ascii="Arial" w:cs="Arial" w:eastAsia="Arial" w:hAnsi="Arial"/>
                <w:sz w:val="18"/>
                <w:szCs w:val="18"/>
                <w:b w:val="1"/>
                <w:bCs w:val="1"/>
                <w:color w:val="FFFFFF"/>
              </w:rPr>
              <w:t>2020</w:t>
            </w:r>
          </w:p>
        </w:tc>
        <w:tc>
          <w:tcPr>
            <w:tcW w:w="120" w:type="dxa"/>
            <w:vAlign w:val="bottom"/>
            <w:shd w:val="clear" w:color="auto" w:fill="1D3060"/>
          </w:tcPr>
          <w:p>
            <w:pPr>
              <w:spacing w:after="0"/>
              <w:rPr>
                <w:sz w:val="22"/>
                <w:szCs w:val="22"/>
                <w:color w:val="auto"/>
              </w:rPr>
            </w:pPr>
          </w:p>
        </w:tc>
      </w:tr>
      <w:tr>
        <w:trPr>
          <w:trHeight w:val="288"/>
        </w:trPr>
        <w:tc>
          <w:tcPr>
            <w:tcW w:w="1300" w:type="dxa"/>
            <w:vAlign w:val="bottom"/>
            <w:gridSpan w:val="3"/>
            <w:shd w:val="clear" w:color="auto" w:fill="D7E8F5"/>
          </w:tcPr>
          <w:p>
            <w:pPr>
              <w:jc w:val="right"/>
              <w:ind w:right="220"/>
              <w:spacing w:after="0"/>
              <w:rPr>
                <w:sz w:val="20"/>
                <w:szCs w:val="20"/>
                <w:color w:val="auto"/>
              </w:rPr>
            </w:pPr>
            <w:r>
              <w:rPr>
                <w:rFonts w:ascii="Arial" w:cs="Arial" w:eastAsia="Arial" w:hAnsi="Arial"/>
                <w:sz w:val="18"/>
                <w:szCs w:val="18"/>
                <w:color w:val="auto"/>
              </w:rPr>
              <w:t>8,895,670</w:t>
            </w:r>
          </w:p>
        </w:tc>
        <w:tc>
          <w:tcPr>
            <w:tcW w:w="1220" w:type="dxa"/>
            <w:vAlign w:val="bottom"/>
            <w:gridSpan w:val="2"/>
            <w:shd w:val="clear" w:color="auto" w:fill="D7E8F5"/>
          </w:tcPr>
          <w:p>
            <w:pPr>
              <w:jc w:val="right"/>
              <w:ind w:right="220"/>
              <w:spacing w:after="0"/>
              <w:rPr>
                <w:sz w:val="20"/>
                <w:szCs w:val="20"/>
                <w:color w:val="auto"/>
              </w:rPr>
            </w:pPr>
            <w:r>
              <w:rPr>
                <w:rFonts w:ascii="Arial" w:cs="Arial" w:eastAsia="Arial" w:hAnsi="Arial"/>
                <w:sz w:val="18"/>
                <w:szCs w:val="18"/>
                <w:color w:val="auto"/>
              </w:rPr>
              <w:t>4,588,810</w:t>
            </w:r>
          </w:p>
        </w:tc>
        <w:tc>
          <w:tcPr>
            <w:tcW w:w="1180" w:type="dxa"/>
            <w:vAlign w:val="bottom"/>
            <w:gridSpan w:val="2"/>
            <w:shd w:val="clear" w:color="auto" w:fill="D7E8F5"/>
          </w:tcPr>
          <w:p>
            <w:pPr>
              <w:jc w:val="right"/>
              <w:ind w:right="180"/>
              <w:spacing w:after="0"/>
              <w:rPr>
                <w:sz w:val="20"/>
                <w:szCs w:val="20"/>
                <w:color w:val="auto"/>
              </w:rPr>
            </w:pPr>
            <w:r>
              <w:rPr>
                <w:rFonts w:ascii="Arial" w:cs="Arial" w:eastAsia="Arial" w:hAnsi="Arial"/>
                <w:sz w:val="18"/>
                <w:szCs w:val="18"/>
                <w:color w:val="auto"/>
              </w:rPr>
              <w:t>10,176,685</w:t>
            </w:r>
          </w:p>
        </w:tc>
        <w:tc>
          <w:tcPr>
            <w:tcW w:w="1160" w:type="dxa"/>
            <w:vAlign w:val="bottom"/>
            <w:gridSpan w:val="2"/>
            <w:shd w:val="clear" w:color="auto" w:fill="D7E8F5"/>
          </w:tcPr>
          <w:p>
            <w:pPr>
              <w:jc w:val="right"/>
              <w:ind w:right="120"/>
              <w:spacing w:after="0"/>
              <w:rPr>
                <w:sz w:val="20"/>
                <w:szCs w:val="20"/>
                <w:color w:val="auto"/>
              </w:rPr>
            </w:pPr>
            <w:r>
              <w:rPr>
                <w:rFonts w:ascii="Arial" w:cs="Arial" w:eastAsia="Arial" w:hAnsi="Arial"/>
                <w:sz w:val="18"/>
                <w:szCs w:val="18"/>
                <w:color w:val="auto"/>
              </w:rPr>
              <w:t>7,818,164</w:t>
            </w:r>
          </w:p>
        </w:tc>
      </w:tr>
      <w:tr>
        <w:trPr>
          <w:trHeight w:val="63"/>
        </w:trPr>
        <w:tc>
          <w:tcPr>
            <w:tcW w:w="100" w:type="dxa"/>
            <w:vAlign w:val="bottom"/>
            <w:shd w:val="clear" w:color="auto" w:fill="D7E8F5"/>
          </w:tcPr>
          <w:p>
            <w:pPr>
              <w:spacing w:after="0"/>
              <w:rPr>
                <w:sz w:val="5"/>
                <w:szCs w:val="5"/>
                <w:color w:val="auto"/>
              </w:rPr>
            </w:pPr>
          </w:p>
        </w:tc>
        <w:tc>
          <w:tcPr>
            <w:tcW w:w="980" w:type="dxa"/>
            <w:vAlign w:val="bottom"/>
            <w:shd w:val="clear" w:color="auto" w:fill="D7E8F5"/>
          </w:tcPr>
          <w:p>
            <w:pPr>
              <w:spacing w:after="0"/>
              <w:rPr>
                <w:sz w:val="5"/>
                <w:szCs w:val="5"/>
                <w:color w:val="auto"/>
              </w:rPr>
            </w:pPr>
          </w:p>
        </w:tc>
        <w:tc>
          <w:tcPr>
            <w:tcW w:w="220" w:type="dxa"/>
            <w:vAlign w:val="bottom"/>
            <w:shd w:val="clear" w:color="auto" w:fill="D7E8F5"/>
          </w:tcPr>
          <w:p>
            <w:pPr>
              <w:spacing w:after="0"/>
              <w:rPr>
                <w:sz w:val="5"/>
                <w:szCs w:val="5"/>
                <w:color w:val="auto"/>
              </w:rPr>
            </w:pPr>
          </w:p>
        </w:tc>
        <w:tc>
          <w:tcPr>
            <w:tcW w:w="1000" w:type="dxa"/>
            <w:vAlign w:val="bottom"/>
            <w:shd w:val="clear" w:color="auto" w:fill="D7E8F5"/>
          </w:tcPr>
          <w:p>
            <w:pPr>
              <w:spacing w:after="0"/>
              <w:rPr>
                <w:sz w:val="5"/>
                <w:szCs w:val="5"/>
                <w:color w:val="auto"/>
              </w:rPr>
            </w:pPr>
          </w:p>
        </w:tc>
        <w:tc>
          <w:tcPr>
            <w:tcW w:w="220" w:type="dxa"/>
            <w:vAlign w:val="bottom"/>
            <w:shd w:val="clear" w:color="auto" w:fill="D7E8F5"/>
          </w:tcPr>
          <w:p>
            <w:pPr>
              <w:spacing w:after="0"/>
              <w:rPr>
                <w:sz w:val="5"/>
                <w:szCs w:val="5"/>
                <w:color w:val="auto"/>
              </w:rPr>
            </w:pPr>
          </w:p>
        </w:tc>
        <w:tc>
          <w:tcPr>
            <w:tcW w:w="1000" w:type="dxa"/>
            <w:vAlign w:val="bottom"/>
            <w:shd w:val="clear" w:color="auto" w:fill="D7E8F5"/>
          </w:tcPr>
          <w:p>
            <w:pPr>
              <w:spacing w:after="0"/>
              <w:rPr>
                <w:sz w:val="5"/>
                <w:szCs w:val="5"/>
                <w:color w:val="auto"/>
              </w:rPr>
            </w:pPr>
          </w:p>
        </w:tc>
        <w:tc>
          <w:tcPr>
            <w:tcW w:w="180" w:type="dxa"/>
            <w:vAlign w:val="bottom"/>
            <w:shd w:val="clear" w:color="auto" w:fill="D7E8F5"/>
          </w:tcPr>
          <w:p>
            <w:pPr>
              <w:spacing w:after="0"/>
              <w:rPr>
                <w:sz w:val="5"/>
                <w:szCs w:val="5"/>
                <w:color w:val="auto"/>
              </w:rPr>
            </w:pPr>
          </w:p>
        </w:tc>
        <w:tc>
          <w:tcPr>
            <w:tcW w:w="1040" w:type="dxa"/>
            <w:vAlign w:val="bottom"/>
            <w:shd w:val="clear" w:color="auto" w:fill="D7E8F5"/>
          </w:tcPr>
          <w:p>
            <w:pPr>
              <w:spacing w:after="0"/>
              <w:rPr>
                <w:sz w:val="5"/>
                <w:szCs w:val="5"/>
                <w:color w:val="auto"/>
              </w:rPr>
            </w:pPr>
          </w:p>
        </w:tc>
        <w:tc>
          <w:tcPr>
            <w:tcW w:w="120" w:type="dxa"/>
            <w:vAlign w:val="bottom"/>
            <w:shd w:val="clear" w:color="auto" w:fill="D7E8F5"/>
          </w:tcPr>
          <w:p>
            <w:pPr>
              <w:spacing w:after="0"/>
              <w:rPr>
                <w:sz w:val="5"/>
                <w:szCs w:val="5"/>
                <w:color w:val="auto"/>
              </w:rPr>
            </w:pPr>
          </w:p>
        </w:tc>
      </w:tr>
      <w:tr>
        <w:trPr>
          <w:trHeight w:val="288"/>
        </w:trPr>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(6,744,150)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(2,498,790)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(7,861,410)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(5,746,295)</w:t>
            </w:r>
          </w:p>
        </w:tc>
      </w:tr>
      <w:tr>
        <w:trPr>
          <w:trHeight w:val="63"/>
        </w:trPr>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490"/>
        </w:trPr>
        <w:tc>
          <w:tcPr>
            <w:tcW w:w="1300" w:type="dxa"/>
            <w:vAlign w:val="bottom"/>
            <w:gridSpan w:val="3"/>
            <w:shd w:val="clear" w:color="auto" w:fill="D7E8F5"/>
          </w:tcPr>
          <w:p>
            <w:pPr>
              <w:jc w:val="right"/>
              <w:ind w:right="220"/>
              <w:spacing w:after="0"/>
              <w:rPr>
                <w:sz w:val="20"/>
                <w:szCs w:val="20"/>
                <w:color w:val="auto"/>
              </w:rPr>
            </w:pPr>
            <w:r>
              <w:rPr>
                <w:rFonts w:ascii="Arial" w:cs="Arial" w:eastAsia="Arial" w:hAnsi="Arial"/>
                <w:sz w:val="18"/>
                <w:szCs w:val="18"/>
                <w:color w:val="auto"/>
              </w:rPr>
              <w:t>8,173,520</w:t>
            </w:r>
          </w:p>
        </w:tc>
        <w:tc>
          <w:tcPr>
            <w:tcW w:w="1220" w:type="dxa"/>
            <w:vAlign w:val="bottom"/>
            <w:gridSpan w:val="2"/>
            <w:shd w:val="clear" w:color="auto" w:fill="D7E8F5"/>
          </w:tcPr>
          <w:p>
            <w:pPr>
              <w:jc w:val="right"/>
              <w:ind w:right="220"/>
              <w:spacing w:after="0"/>
              <w:rPr>
                <w:sz w:val="20"/>
                <w:szCs w:val="20"/>
                <w:color w:val="auto"/>
              </w:rPr>
            </w:pPr>
            <w:r>
              <w:rPr>
                <w:rFonts w:ascii="Arial" w:cs="Arial" w:eastAsia="Arial" w:hAnsi="Arial"/>
                <w:sz w:val="18"/>
                <w:szCs w:val="18"/>
                <w:color w:val="auto"/>
              </w:rPr>
              <w:t>5,823,820</w:t>
            </w:r>
          </w:p>
        </w:tc>
        <w:tc>
          <w:tcPr>
            <w:tcW w:w="1180" w:type="dxa"/>
            <w:vAlign w:val="bottom"/>
            <w:gridSpan w:val="2"/>
            <w:shd w:val="clear" w:color="auto" w:fill="D7E8F5"/>
          </w:tcPr>
          <w:p>
            <w:pPr>
              <w:jc w:val="right"/>
              <w:ind w:right="180"/>
              <w:spacing w:after="0"/>
              <w:rPr>
                <w:sz w:val="20"/>
                <w:szCs w:val="20"/>
                <w:color w:val="auto"/>
              </w:rPr>
            </w:pPr>
            <w:r>
              <w:rPr>
                <w:rFonts w:ascii="Arial" w:cs="Arial" w:eastAsia="Arial" w:hAnsi="Arial"/>
                <w:sz w:val="18"/>
                <w:szCs w:val="18"/>
                <w:color w:val="auto"/>
              </w:rPr>
              <w:t>9,100,080</w:t>
            </w:r>
          </w:p>
        </w:tc>
        <w:tc>
          <w:tcPr>
            <w:tcW w:w="1160" w:type="dxa"/>
            <w:vAlign w:val="bottom"/>
            <w:gridSpan w:val="2"/>
            <w:shd w:val="clear" w:color="auto" w:fill="D7E8F5"/>
          </w:tcPr>
          <w:p>
            <w:pPr>
              <w:jc w:val="right"/>
              <w:ind w:right="120"/>
              <w:spacing w:after="0"/>
              <w:rPr>
                <w:sz w:val="20"/>
                <w:szCs w:val="20"/>
                <w:color w:val="auto"/>
              </w:rPr>
            </w:pPr>
            <w:r>
              <w:rPr>
                <w:rFonts w:ascii="Arial" w:cs="Arial" w:eastAsia="Arial" w:hAnsi="Arial"/>
                <w:sz w:val="18"/>
                <w:szCs w:val="18"/>
                <w:color w:val="auto"/>
              </w:rPr>
              <w:t>7,670,290</w:t>
            </w:r>
          </w:p>
        </w:tc>
      </w:tr>
      <w:tr>
        <w:trPr>
          <w:trHeight w:val="63"/>
        </w:trPr>
        <w:tc>
          <w:tcPr>
            <w:tcW w:w="100" w:type="dxa"/>
            <w:vAlign w:val="bottom"/>
            <w:shd w:val="clear" w:color="auto" w:fill="D7E8F5"/>
          </w:tcPr>
          <w:p>
            <w:pPr>
              <w:spacing w:after="0"/>
              <w:rPr>
                <w:sz w:val="5"/>
                <w:szCs w:val="5"/>
                <w:color w:val="auto"/>
              </w:rPr>
            </w:pPr>
          </w:p>
        </w:tc>
        <w:tc>
          <w:tcPr>
            <w:tcW w:w="980" w:type="dxa"/>
            <w:vAlign w:val="bottom"/>
            <w:shd w:val="clear" w:color="auto" w:fill="D7E8F5"/>
          </w:tcPr>
          <w:p>
            <w:pPr>
              <w:spacing w:after="0"/>
              <w:rPr>
                <w:sz w:val="5"/>
                <w:szCs w:val="5"/>
                <w:color w:val="auto"/>
              </w:rPr>
            </w:pPr>
          </w:p>
        </w:tc>
        <w:tc>
          <w:tcPr>
            <w:tcW w:w="220" w:type="dxa"/>
            <w:vAlign w:val="bottom"/>
            <w:shd w:val="clear" w:color="auto" w:fill="D7E8F5"/>
          </w:tcPr>
          <w:p>
            <w:pPr>
              <w:spacing w:after="0"/>
              <w:rPr>
                <w:sz w:val="5"/>
                <w:szCs w:val="5"/>
                <w:color w:val="auto"/>
              </w:rPr>
            </w:pPr>
          </w:p>
        </w:tc>
        <w:tc>
          <w:tcPr>
            <w:tcW w:w="1000" w:type="dxa"/>
            <w:vAlign w:val="bottom"/>
            <w:shd w:val="clear" w:color="auto" w:fill="D7E8F5"/>
          </w:tcPr>
          <w:p>
            <w:pPr>
              <w:spacing w:after="0"/>
              <w:rPr>
                <w:sz w:val="5"/>
                <w:szCs w:val="5"/>
                <w:color w:val="auto"/>
              </w:rPr>
            </w:pPr>
          </w:p>
        </w:tc>
        <w:tc>
          <w:tcPr>
            <w:tcW w:w="220" w:type="dxa"/>
            <w:vAlign w:val="bottom"/>
            <w:shd w:val="clear" w:color="auto" w:fill="D7E8F5"/>
          </w:tcPr>
          <w:p>
            <w:pPr>
              <w:spacing w:after="0"/>
              <w:rPr>
                <w:sz w:val="5"/>
                <w:szCs w:val="5"/>
                <w:color w:val="auto"/>
              </w:rPr>
            </w:pPr>
          </w:p>
        </w:tc>
        <w:tc>
          <w:tcPr>
            <w:tcW w:w="1000" w:type="dxa"/>
            <w:vAlign w:val="bottom"/>
            <w:shd w:val="clear" w:color="auto" w:fill="D7E8F5"/>
          </w:tcPr>
          <w:p>
            <w:pPr>
              <w:spacing w:after="0"/>
              <w:rPr>
                <w:sz w:val="5"/>
                <w:szCs w:val="5"/>
                <w:color w:val="auto"/>
              </w:rPr>
            </w:pPr>
          </w:p>
        </w:tc>
        <w:tc>
          <w:tcPr>
            <w:tcW w:w="180" w:type="dxa"/>
            <w:vAlign w:val="bottom"/>
            <w:shd w:val="clear" w:color="auto" w:fill="D7E8F5"/>
          </w:tcPr>
          <w:p>
            <w:pPr>
              <w:spacing w:after="0"/>
              <w:rPr>
                <w:sz w:val="5"/>
                <w:szCs w:val="5"/>
                <w:color w:val="auto"/>
              </w:rPr>
            </w:pPr>
          </w:p>
        </w:tc>
        <w:tc>
          <w:tcPr>
            <w:tcW w:w="1040" w:type="dxa"/>
            <w:vAlign w:val="bottom"/>
            <w:shd w:val="clear" w:color="auto" w:fill="D7E8F5"/>
          </w:tcPr>
          <w:p>
            <w:pPr>
              <w:spacing w:after="0"/>
              <w:rPr>
                <w:sz w:val="5"/>
                <w:szCs w:val="5"/>
                <w:color w:val="auto"/>
              </w:rPr>
            </w:pPr>
          </w:p>
        </w:tc>
        <w:tc>
          <w:tcPr>
            <w:tcW w:w="120" w:type="dxa"/>
            <w:vAlign w:val="bottom"/>
            <w:shd w:val="clear" w:color="auto" w:fill="D7E8F5"/>
          </w:tcPr>
          <w:p>
            <w:pPr>
              <w:spacing w:after="0"/>
              <w:rPr>
                <w:sz w:val="5"/>
                <w:szCs w:val="5"/>
                <w:color w:val="auto"/>
              </w:rPr>
            </w:pPr>
          </w:p>
        </w:tc>
      </w:tr>
      <w:tr>
        <w:trPr>
          <w:trHeight w:val="895"/>
        </w:trPr>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344,240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7,353,620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2,419,780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743,590</w:t>
            </w:r>
          </w:p>
        </w:tc>
      </w:tr>
      <w:tr>
        <w:trPr>
          <w:trHeight w:val="63"/>
        </w:trPr>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697"/>
        </w:trPr>
        <w:tc>
          <w:tcPr>
            <w:tcW w:w="100" w:type="dxa"/>
            <w:vAlign w:val="bottom"/>
            <w:shd w:val="clear" w:color="auto" w:fill="D7E8F5"/>
          </w:tcPr>
          <w:p>
            <w:pPr>
              <w:spacing w:after="0"/>
              <w:rPr>
                <w:sz w:val="24"/>
                <w:szCs w:val="24"/>
                <w:color w:val="auto"/>
              </w:rPr>
            </w:pPr>
          </w:p>
        </w:tc>
        <w:tc>
          <w:tcPr>
            <w:tcW w:w="980" w:type="dxa"/>
            <w:vAlign w:val="bottom"/>
            <w:shd w:val="clear" w:color="auto" w:fill="D7E8F5"/>
          </w:tcPr>
          <w:p>
            <w:pPr>
              <w:jc w:val="right"/>
              <w:spacing w:after="0"/>
              <w:rPr>
                <w:sz w:val="20"/>
                <w:szCs w:val="20"/>
                <w:color w:val="auto"/>
              </w:rPr>
            </w:pPr>
            <w:r>
              <w:rPr>
                <w:rFonts w:ascii="Arial" w:cs="Arial" w:eastAsia="Arial" w:hAnsi="Arial"/>
                <w:sz w:val="18"/>
                <w:szCs w:val="18"/>
                <w:color w:val="auto"/>
              </w:rPr>
              <w:t>741,014</w:t>
            </w:r>
          </w:p>
        </w:tc>
        <w:tc>
          <w:tcPr>
            <w:tcW w:w="220" w:type="dxa"/>
            <w:vAlign w:val="bottom"/>
            <w:shd w:val="clear" w:color="auto" w:fill="D7E8F5"/>
          </w:tcPr>
          <w:p>
            <w:pPr>
              <w:spacing w:after="0"/>
              <w:rPr>
                <w:sz w:val="24"/>
                <w:szCs w:val="24"/>
                <w:color w:val="auto"/>
              </w:rPr>
            </w:pPr>
          </w:p>
        </w:tc>
        <w:tc>
          <w:tcPr>
            <w:tcW w:w="1220" w:type="dxa"/>
            <w:vAlign w:val="bottom"/>
            <w:gridSpan w:val="2"/>
            <w:shd w:val="clear" w:color="auto" w:fill="D7E8F5"/>
          </w:tcPr>
          <w:p>
            <w:pPr>
              <w:jc w:val="right"/>
              <w:ind w:right="220"/>
              <w:spacing w:after="0"/>
              <w:rPr>
                <w:sz w:val="20"/>
                <w:szCs w:val="20"/>
                <w:color w:val="auto"/>
              </w:rPr>
            </w:pPr>
            <w:r>
              <w:rPr>
                <w:rFonts w:ascii="Arial" w:cs="Arial" w:eastAsia="Arial" w:hAnsi="Arial"/>
                <w:sz w:val="18"/>
                <w:szCs w:val="18"/>
                <w:color w:val="auto"/>
              </w:rPr>
              <w:t>3,776,000</w:t>
            </w:r>
          </w:p>
        </w:tc>
        <w:tc>
          <w:tcPr>
            <w:tcW w:w="1180" w:type="dxa"/>
            <w:vAlign w:val="bottom"/>
            <w:gridSpan w:val="2"/>
            <w:shd w:val="clear" w:color="auto" w:fill="D7E8F5"/>
          </w:tcPr>
          <w:p>
            <w:pPr>
              <w:jc w:val="right"/>
              <w:ind w:right="180"/>
              <w:spacing w:after="0"/>
              <w:rPr>
                <w:sz w:val="20"/>
                <w:szCs w:val="20"/>
                <w:color w:val="auto"/>
              </w:rPr>
            </w:pPr>
            <w:r>
              <w:rPr>
                <w:rFonts w:ascii="Arial" w:cs="Arial" w:eastAsia="Arial" w:hAnsi="Arial"/>
                <w:sz w:val="18"/>
                <w:szCs w:val="18"/>
                <w:color w:val="auto"/>
              </w:rPr>
              <w:t>3,679,210</w:t>
            </w:r>
          </w:p>
        </w:tc>
        <w:tc>
          <w:tcPr>
            <w:tcW w:w="1160" w:type="dxa"/>
            <w:vAlign w:val="bottom"/>
            <w:gridSpan w:val="2"/>
            <w:shd w:val="clear" w:color="auto" w:fill="D7E8F5"/>
          </w:tcPr>
          <w:p>
            <w:pPr>
              <w:jc w:val="right"/>
              <w:ind w:right="120"/>
              <w:spacing w:after="0"/>
              <w:rPr>
                <w:sz w:val="20"/>
                <w:szCs w:val="20"/>
                <w:color w:val="auto"/>
              </w:rPr>
            </w:pPr>
            <w:r>
              <w:rPr>
                <w:rFonts w:ascii="Arial" w:cs="Arial" w:eastAsia="Arial" w:hAnsi="Arial"/>
                <w:sz w:val="18"/>
                <w:szCs w:val="18"/>
                <w:color w:val="auto"/>
              </w:rPr>
              <w:t>280,820</w:t>
            </w:r>
          </w:p>
        </w:tc>
      </w:tr>
      <w:tr>
        <w:trPr>
          <w:trHeight w:val="32"/>
        </w:trPr>
        <w:tc>
          <w:tcPr>
            <w:tcW w:w="100" w:type="dxa"/>
            <w:vAlign w:val="bottom"/>
            <w:shd w:val="clear" w:color="auto" w:fill="D7E8F5"/>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D7E8F5"/>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D7E8F5"/>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D7E8F5"/>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D7E8F5"/>
          </w:tcPr>
          <w:p>
            <w:pPr>
              <w:spacing w:after="0"/>
              <w:rPr>
                <w:sz w:val="2"/>
                <w:szCs w:val="2"/>
                <w:color w:val="auto"/>
              </w:rPr>
            </w:pPr>
          </w:p>
        </w:tc>
      </w:tr>
      <w:tr>
        <w:trPr>
          <w:trHeight w:val="288"/>
        </w:trPr>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11,410,294</w:t>
            </w: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19,043,460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17,514,345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10,766,569</w:t>
            </w:r>
          </w:p>
        </w:tc>
      </w:tr>
    </w:tbl>
    <w:p>
      <w:pPr>
        <w:spacing w:after="0" w:line="162" w:lineRule="exact"/>
        <w:rPr>
          <w:sz w:val="20"/>
          <w:szCs w:val="20"/>
          <w:color w:val="auto"/>
        </w:rPr>
      </w:pPr>
    </w:p>
    <w:p>
      <w:pPr>
        <w:sectPr>
          <w:pgSz w:w="11900" w:h="16838" w:orient="portrait"/>
          <w:cols w:equalWidth="0" w:num="2">
            <w:col w:w="6240" w:space="40"/>
            <w:col w:w="4860"/>
          </w:cols>
          <w:pgMar w:left="320" w:top="482" w:right="439" w:bottom="1440" w:gutter="0" w:footer="0" w:header="0"/>
          <w:type w:val="continuous"/>
        </w:sectPr>
      </w:pPr>
    </w:p>
    <w:p>
      <w:pPr>
        <w:ind w:left="760" w:right="200" w:hanging="536"/>
        <w:spacing w:after="0" w:line="285" w:lineRule="auto"/>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determined the year-end fair value of PSUs for the year indicated. If the achievement of the performance condition for the PSU was not probable, as defined under applicable accounting guidance, then we assigned a fair value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760" w:right="60" w:hanging="536"/>
        <w:spacing w:after="0" w:line="285" w:lineRule="auto"/>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Following is a summary of the adjustments made to average non-PEO NEO compensation as reported in the Summary Compensation Table to determine average non-PEO NEO CAP as reported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123190</wp:posOffset>
            </wp:positionV>
            <wp:extent cx="3909060" cy="1631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909060"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Average Total Compensation Reported in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3909060" cy="2228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909060" cy="22288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LESS: the grant date fair value of equity awards granted in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3909060" cy="3511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909060" cy="351155"/>
                    </a:xfrm>
                    <a:prstGeom prst="rect">
                      <a:avLst/>
                    </a:prstGeom>
                    <a:noFill/>
                  </pic:spPr>
                </pic:pic>
              </a:graphicData>
            </a:graphic>
          </wp:anchor>
        </w:drawing>
      </w:r>
    </w:p>
    <w:p>
      <w:pPr>
        <w:spacing w:after="0" w:line="136" w:lineRule="exact"/>
        <w:rPr>
          <w:sz w:val="20"/>
          <w:szCs w:val="20"/>
          <w:color w:val="auto"/>
        </w:rPr>
      </w:pPr>
    </w:p>
    <w:p>
      <w:pPr>
        <w:ind w:left="300" w:right="380" w:hanging="179"/>
        <w:spacing w:after="0" w:line="271" w:lineRule="auto"/>
        <w:rPr>
          <w:sz w:val="20"/>
          <w:szCs w:val="20"/>
          <w:color w:val="auto"/>
        </w:rPr>
      </w:pPr>
      <w:r>
        <w:rPr>
          <w:rFonts w:ascii="Arial" w:cs="Arial" w:eastAsia="Arial" w:hAnsi="Arial"/>
          <w:sz w:val="18"/>
          <w:szCs w:val="18"/>
          <w:color w:val="auto"/>
        </w:rPr>
        <w:t>ADD: the year-end fair value of outstanding and unvested equity awards granted in the year indicated (a)</w:t>
      </w:r>
    </w:p>
    <w:p>
      <w:pPr>
        <w:spacing w:after="0" w:line="86" w:lineRule="exact"/>
        <w:rPr>
          <w:sz w:val="20"/>
          <w:szCs w:val="20"/>
          <w:color w:val="auto"/>
        </w:rPr>
      </w:pPr>
    </w:p>
    <w:p>
      <w:pPr>
        <w:ind w:left="300" w:right="180" w:hanging="179"/>
        <w:spacing w:after="0" w:line="247" w:lineRule="auto"/>
        <w:rPr>
          <w:sz w:val="20"/>
          <w:szCs w:val="20"/>
          <w:color w:val="auto"/>
        </w:rPr>
      </w:pPr>
      <w:r>
        <w:rPr>
          <w:rFonts w:ascii="Arial" w:cs="Arial" w:eastAsia="Arial" w:hAnsi="Arial"/>
          <w:sz w:val="18"/>
          <w:szCs w:val="18"/>
          <w:color w:val="auto"/>
        </w:rPr>
        <w:t>ADD: the change in fair value of equity awards granted in years prior to the year indicated that were outstanding and unvested at the end of the year indicated (as compared to fair value at the end of the immediately prior year)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3909060" cy="4629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909060" cy="462915"/>
                    </a:xfrm>
                    <a:prstGeom prst="rect">
                      <a:avLst/>
                    </a:prstGeom>
                    <a:noFill/>
                  </pic:spPr>
                </pic:pic>
              </a:graphicData>
            </a:graphic>
          </wp:anchor>
        </w:drawing>
      </w:r>
    </w:p>
    <w:p>
      <w:pPr>
        <w:spacing w:after="0" w:line="86" w:lineRule="exact"/>
        <w:rPr>
          <w:sz w:val="20"/>
          <w:szCs w:val="20"/>
          <w:color w:val="auto"/>
        </w:rPr>
      </w:pPr>
    </w:p>
    <w:p>
      <w:pPr>
        <w:jc w:val="both"/>
        <w:ind w:left="300" w:right="180" w:hanging="179"/>
        <w:spacing w:after="0" w:line="253" w:lineRule="auto"/>
        <w:rPr>
          <w:sz w:val="20"/>
          <w:szCs w:val="20"/>
          <w:color w:val="auto"/>
        </w:rPr>
      </w:pPr>
      <w:r>
        <w:rPr>
          <w:rFonts w:ascii="Arial" w:cs="Arial" w:eastAsia="Arial" w:hAnsi="Arial"/>
          <w:sz w:val="18"/>
          <w:szCs w:val="18"/>
          <w:color w:val="auto"/>
        </w:rPr>
        <w:t>ADD: the change in fair value of equity awards granted in years prior to the year indicated that vested in the year indicated (fair value at vesting date as compared to the end of the immediately prior year) (a)</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(Net)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6995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080" w:type="dxa"/>
            <w:vAlign w:val="bottom"/>
            <w:gridSpan w:val="2"/>
            <w:shd w:val="clear" w:color="auto" w:fill="1D3060"/>
          </w:tcPr>
          <w:p>
            <w:pPr>
              <w:jc w:val="right"/>
              <w:ind w:right="210"/>
              <w:spacing w:after="0"/>
              <w:rPr>
                <w:sz w:val="20"/>
                <w:szCs w:val="20"/>
                <w:color w:val="auto"/>
              </w:rPr>
            </w:pPr>
            <w:r>
              <w:rPr>
                <w:rFonts w:ascii="Arial" w:cs="Arial" w:eastAsia="Arial" w:hAnsi="Arial"/>
                <w:sz w:val="18"/>
                <w:szCs w:val="18"/>
                <w:b w:val="1"/>
                <w:bCs w:val="1"/>
                <w:color w:val="FFFFFF"/>
              </w:rPr>
              <w:t>2023</w:t>
            </w:r>
          </w:p>
        </w:tc>
        <w:tc>
          <w:tcPr>
            <w:tcW w:w="220" w:type="dxa"/>
            <w:vAlign w:val="bottom"/>
            <w:shd w:val="clear" w:color="auto" w:fill="1D3060"/>
          </w:tcPr>
          <w:p>
            <w:pPr>
              <w:spacing w:after="0"/>
              <w:rPr>
                <w:sz w:val="22"/>
                <w:szCs w:val="22"/>
                <w:color w:val="auto"/>
              </w:rPr>
            </w:pPr>
          </w:p>
        </w:tc>
        <w:tc>
          <w:tcPr>
            <w:tcW w:w="1020" w:type="dxa"/>
            <w:vAlign w:val="bottom"/>
            <w:shd w:val="clear" w:color="auto" w:fill="1D3060"/>
          </w:tcPr>
          <w:p>
            <w:pPr>
              <w:jc w:val="right"/>
              <w:ind w:right="230"/>
              <w:spacing w:after="0"/>
              <w:rPr>
                <w:sz w:val="20"/>
                <w:szCs w:val="20"/>
                <w:color w:val="auto"/>
              </w:rPr>
            </w:pPr>
            <w:r>
              <w:rPr>
                <w:rFonts w:ascii="Arial" w:cs="Arial" w:eastAsia="Arial" w:hAnsi="Arial"/>
                <w:sz w:val="18"/>
                <w:szCs w:val="18"/>
                <w:b w:val="1"/>
                <w:bCs w:val="1"/>
                <w:color w:val="FFFFFF"/>
              </w:rPr>
              <w:t>2022</w:t>
            </w:r>
          </w:p>
        </w:tc>
        <w:tc>
          <w:tcPr>
            <w:tcW w:w="220" w:type="dxa"/>
            <w:vAlign w:val="bottom"/>
            <w:shd w:val="clear" w:color="auto" w:fill="1D3060"/>
          </w:tcPr>
          <w:p>
            <w:pPr>
              <w:spacing w:after="0"/>
              <w:rPr>
                <w:sz w:val="22"/>
                <w:szCs w:val="22"/>
                <w:color w:val="auto"/>
              </w:rPr>
            </w:pPr>
          </w:p>
        </w:tc>
        <w:tc>
          <w:tcPr>
            <w:tcW w:w="1020" w:type="dxa"/>
            <w:vAlign w:val="bottom"/>
            <w:shd w:val="clear" w:color="auto" w:fill="1D3060"/>
          </w:tcPr>
          <w:p>
            <w:pPr>
              <w:jc w:val="right"/>
              <w:ind w:right="210"/>
              <w:spacing w:after="0"/>
              <w:rPr>
                <w:sz w:val="20"/>
                <w:szCs w:val="20"/>
                <w:color w:val="auto"/>
              </w:rPr>
            </w:pPr>
            <w:r>
              <w:rPr>
                <w:rFonts w:ascii="Arial" w:cs="Arial" w:eastAsia="Arial" w:hAnsi="Arial"/>
                <w:sz w:val="18"/>
                <w:szCs w:val="18"/>
                <w:b w:val="1"/>
                <w:bCs w:val="1"/>
                <w:color w:val="FFFFFF"/>
              </w:rPr>
              <w:t>2021</w:t>
            </w:r>
          </w:p>
        </w:tc>
        <w:tc>
          <w:tcPr>
            <w:tcW w:w="180" w:type="dxa"/>
            <w:vAlign w:val="bottom"/>
            <w:shd w:val="clear" w:color="auto" w:fill="1D3060"/>
          </w:tcPr>
          <w:p>
            <w:pPr>
              <w:spacing w:after="0"/>
              <w:rPr>
                <w:sz w:val="22"/>
                <w:szCs w:val="22"/>
                <w:color w:val="auto"/>
              </w:rPr>
            </w:pPr>
          </w:p>
        </w:tc>
        <w:tc>
          <w:tcPr>
            <w:tcW w:w="1000" w:type="dxa"/>
            <w:vAlign w:val="bottom"/>
            <w:shd w:val="clear" w:color="auto" w:fill="1D3060"/>
          </w:tcPr>
          <w:p>
            <w:pPr>
              <w:jc w:val="right"/>
              <w:ind w:right="210"/>
              <w:spacing w:after="0"/>
              <w:rPr>
                <w:sz w:val="20"/>
                <w:szCs w:val="20"/>
                <w:color w:val="auto"/>
              </w:rPr>
            </w:pPr>
            <w:r>
              <w:rPr>
                <w:rFonts w:ascii="Arial" w:cs="Arial" w:eastAsia="Arial" w:hAnsi="Arial"/>
                <w:sz w:val="18"/>
                <w:szCs w:val="18"/>
                <w:b w:val="1"/>
                <w:bCs w:val="1"/>
                <w:color w:val="FFFFFF"/>
              </w:rPr>
              <w:t>2020</w:t>
            </w:r>
          </w:p>
        </w:tc>
        <w:tc>
          <w:tcPr>
            <w:tcW w:w="120" w:type="dxa"/>
            <w:vAlign w:val="bottom"/>
            <w:shd w:val="clear" w:color="auto" w:fill="1D3060"/>
          </w:tcPr>
          <w:p>
            <w:pPr>
              <w:spacing w:after="0"/>
              <w:rPr>
                <w:sz w:val="22"/>
                <w:szCs w:val="22"/>
                <w:color w:val="auto"/>
              </w:rPr>
            </w:pPr>
          </w:p>
        </w:tc>
      </w:tr>
      <w:tr>
        <w:trPr>
          <w:trHeight w:val="288"/>
        </w:trPr>
        <w:tc>
          <w:tcPr>
            <w:tcW w:w="1300" w:type="dxa"/>
            <w:vAlign w:val="bottom"/>
            <w:gridSpan w:val="3"/>
            <w:shd w:val="clear" w:color="auto" w:fill="D7E8F5"/>
          </w:tcPr>
          <w:p>
            <w:pPr>
              <w:jc w:val="right"/>
              <w:ind w:right="220"/>
              <w:spacing w:after="0"/>
              <w:rPr>
                <w:sz w:val="20"/>
                <w:szCs w:val="20"/>
                <w:color w:val="auto"/>
              </w:rPr>
            </w:pPr>
            <w:r>
              <w:rPr>
                <w:rFonts w:ascii="Arial" w:cs="Arial" w:eastAsia="Arial" w:hAnsi="Arial"/>
                <w:sz w:val="18"/>
                <w:szCs w:val="18"/>
                <w:color w:val="auto"/>
              </w:rPr>
              <w:t>2,922,458</w:t>
            </w:r>
          </w:p>
        </w:tc>
        <w:tc>
          <w:tcPr>
            <w:tcW w:w="1240" w:type="dxa"/>
            <w:vAlign w:val="bottom"/>
            <w:gridSpan w:val="2"/>
            <w:shd w:val="clear" w:color="auto" w:fill="D7E8F5"/>
          </w:tcPr>
          <w:p>
            <w:pPr>
              <w:jc w:val="right"/>
              <w:ind w:right="220"/>
              <w:spacing w:after="0"/>
              <w:rPr>
                <w:sz w:val="20"/>
                <w:szCs w:val="20"/>
                <w:color w:val="auto"/>
              </w:rPr>
            </w:pPr>
            <w:r>
              <w:rPr>
                <w:rFonts w:ascii="Arial" w:cs="Arial" w:eastAsia="Arial" w:hAnsi="Arial"/>
                <w:sz w:val="18"/>
                <w:szCs w:val="18"/>
                <w:color w:val="auto"/>
              </w:rPr>
              <w:t>3,580,510</w:t>
            </w:r>
          </w:p>
        </w:tc>
        <w:tc>
          <w:tcPr>
            <w:tcW w:w="1200" w:type="dxa"/>
            <w:vAlign w:val="bottom"/>
            <w:gridSpan w:val="2"/>
            <w:shd w:val="clear" w:color="auto" w:fill="D7E8F5"/>
          </w:tcPr>
          <w:p>
            <w:pPr>
              <w:jc w:val="right"/>
              <w:ind w:right="180"/>
              <w:spacing w:after="0"/>
              <w:rPr>
                <w:sz w:val="20"/>
                <w:szCs w:val="20"/>
                <w:color w:val="auto"/>
              </w:rPr>
            </w:pPr>
            <w:r>
              <w:rPr>
                <w:rFonts w:ascii="Arial" w:cs="Arial" w:eastAsia="Arial" w:hAnsi="Arial"/>
                <w:sz w:val="18"/>
                <w:szCs w:val="18"/>
                <w:color w:val="auto"/>
              </w:rPr>
              <w:t>5,918,910</w:t>
            </w:r>
          </w:p>
        </w:tc>
        <w:tc>
          <w:tcPr>
            <w:tcW w:w="1120" w:type="dxa"/>
            <w:vAlign w:val="bottom"/>
            <w:gridSpan w:val="2"/>
            <w:shd w:val="clear" w:color="auto" w:fill="D7E8F5"/>
          </w:tcPr>
          <w:p>
            <w:pPr>
              <w:jc w:val="right"/>
              <w:ind w:right="120"/>
              <w:spacing w:after="0"/>
              <w:rPr>
                <w:sz w:val="20"/>
                <w:szCs w:val="20"/>
                <w:color w:val="auto"/>
              </w:rPr>
            </w:pPr>
            <w:r>
              <w:rPr>
                <w:rFonts w:ascii="Arial" w:cs="Arial" w:eastAsia="Arial" w:hAnsi="Arial"/>
                <w:sz w:val="18"/>
                <w:szCs w:val="18"/>
                <w:color w:val="auto"/>
              </w:rPr>
              <w:t>4,240,550</w:t>
            </w:r>
          </w:p>
        </w:tc>
      </w:tr>
      <w:tr>
        <w:trPr>
          <w:trHeight w:val="63"/>
        </w:trPr>
        <w:tc>
          <w:tcPr>
            <w:tcW w:w="100" w:type="dxa"/>
            <w:vAlign w:val="bottom"/>
            <w:shd w:val="clear" w:color="auto" w:fill="D7E8F5"/>
          </w:tcPr>
          <w:p>
            <w:pPr>
              <w:spacing w:after="0"/>
              <w:rPr>
                <w:sz w:val="5"/>
                <w:szCs w:val="5"/>
                <w:color w:val="auto"/>
              </w:rPr>
            </w:pPr>
          </w:p>
        </w:tc>
        <w:tc>
          <w:tcPr>
            <w:tcW w:w="980" w:type="dxa"/>
            <w:vAlign w:val="bottom"/>
            <w:shd w:val="clear" w:color="auto" w:fill="D7E8F5"/>
          </w:tcPr>
          <w:p>
            <w:pPr>
              <w:spacing w:after="0"/>
              <w:rPr>
                <w:sz w:val="5"/>
                <w:szCs w:val="5"/>
                <w:color w:val="auto"/>
              </w:rPr>
            </w:pPr>
          </w:p>
        </w:tc>
        <w:tc>
          <w:tcPr>
            <w:tcW w:w="220" w:type="dxa"/>
            <w:vAlign w:val="bottom"/>
            <w:shd w:val="clear" w:color="auto" w:fill="D7E8F5"/>
          </w:tcPr>
          <w:p>
            <w:pPr>
              <w:spacing w:after="0"/>
              <w:rPr>
                <w:sz w:val="5"/>
                <w:szCs w:val="5"/>
                <w:color w:val="auto"/>
              </w:rPr>
            </w:pPr>
          </w:p>
        </w:tc>
        <w:tc>
          <w:tcPr>
            <w:tcW w:w="1020" w:type="dxa"/>
            <w:vAlign w:val="bottom"/>
            <w:shd w:val="clear" w:color="auto" w:fill="D7E8F5"/>
          </w:tcPr>
          <w:p>
            <w:pPr>
              <w:spacing w:after="0"/>
              <w:rPr>
                <w:sz w:val="5"/>
                <w:szCs w:val="5"/>
                <w:color w:val="auto"/>
              </w:rPr>
            </w:pPr>
          </w:p>
        </w:tc>
        <w:tc>
          <w:tcPr>
            <w:tcW w:w="220" w:type="dxa"/>
            <w:vAlign w:val="bottom"/>
            <w:shd w:val="clear" w:color="auto" w:fill="D7E8F5"/>
          </w:tcPr>
          <w:p>
            <w:pPr>
              <w:spacing w:after="0"/>
              <w:rPr>
                <w:sz w:val="5"/>
                <w:szCs w:val="5"/>
                <w:color w:val="auto"/>
              </w:rPr>
            </w:pPr>
          </w:p>
        </w:tc>
        <w:tc>
          <w:tcPr>
            <w:tcW w:w="1020" w:type="dxa"/>
            <w:vAlign w:val="bottom"/>
            <w:shd w:val="clear" w:color="auto" w:fill="D7E8F5"/>
          </w:tcPr>
          <w:p>
            <w:pPr>
              <w:spacing w:after="0"/>
              <w:rPr>
                <w:sz w:val="5"/>
                <w:szCs w:val="5"/>
                <w:color w:val="auto"/>
              </w:rPr>
            </w:pPr>
          </w:p>
        </w:tc>
        <w:tc>
          <w:tcPr>
            <w:tcW w:w="180" w:type="dxa"/>
            <w:vAlign w:val="bottom"/>
            <w:shd w:val="clear" w:color="auto" w:fill="D7E8F5"/>
          </w:tcPr>
          <w:p>
            <w:pPr>
              <w:spacing w:after="0"/>
              <w:rPr>
                <w:sz w:val="5"/>
                <w:szCs w:val="5"/>
                <w:color w:val="auto"/>
              </w:rPr>
            </w:pPr>
          </w:p>
        </w:tc>
        <w:tc>
          <w:tcPr>
            <w:tcW w:w="1000" w:type="dxa"/>
            <w:vAlign w:val="bottom"/>
            <w:shd w:val="clear" w:color="auto" w:fill="D7E8F5"/>
          </w:tcPr>
          <w:p>
            <w:pPr>
              <w:spacing w:after="0"/>
              <w:rPr>
                <w:sz w:val="5"/>
                <w:szCs w:val="5"/>
                <w:color w:val="auto"/>
              </w:rPr>
            </w:pPr>
          </w:p>
        </w:tc>
        <w:tc>
          <w:tcPr>
            <w:tcW w:w="120" w:type="dxa"/>
            <w:vAlign w:val="bottom"/>
            <w:shd w:val="clear" w:color="auto" w:fill="D7E8F5"/>
          </w:tcPr>
          <w:p>
            <w:pPr>
              <w:spacing w:after="0"/>
              <w:rPr>
                <w:sz w:val="5"/>
                <w:szCs w:val="5"/>
                <w:color w:val="auto"/>
              </w:rPr>
            </w:pPr>
          </w:p>
        </w:tc>
      </w:tr>
      <w:tr>
        <w:trPr>
          <w:trHeight w:val="288"/>
        </w:trPr>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(1,888,468)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(2,548,800)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(4,891,560)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(3,113,250)</w:t>
            </w:r>
          </w:p>
        </w:tc>
      </w:tr>
      <w:tr>
        <w:trPr>
          <w:trHeight w:val="63"/>
        </w:trPr>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490"/>
        </w:trPr>
        <w:tc>
          <w:tcPr>
            <w:tcW w:w="1300" w:type="dxa"/>
            <w:vAlign w:val="bottom"/>
            <w:gridSpan w:val="3"/>
            <w:shd w:val="clear" w:color="auto" w:fill="D7E8F5"/>
          </w:tcPr>
          <w:p>
            <w:pPr>
              <w:jc w:val="right"/>
              <w:ind w:right="220"/>
              <w:spacing w:after="0"/>
              <w:rPr>
                <w:sz w:val="20"/>
                <w:szCs w:val="20"/>
                <w:color w:val="auto"/>
              </w:rPr>
            </w:pPr>
            <w:r>
              <w:rPr>
                <w:rFonts w:ascii="Arial" w:cs="Arial" w:eastAsia="Arial" w:hAnsi="Arial"/>
                <w:sz w:val="18"/>
                <w:szCs w:val="18"/>
                <w:color w:val="auto"/>
              </w:rPr>
              <w:t>2,288,708</w:t>
            </w:r>
          </w:p>
        </w:tc>
        <w:tc>
          <w:tcPr>
            <w:tcW w:w="1240" w:type="dxa"/>
            <w:vAlign w:val="bottom"/>
            <w:gridSpan w:val="2"/>
            <w:shd w:val="clear" w:color="auto" w:fill="D7E8F5"/>
          </w:tcPr>
          <w:p>
            <w:pPr>
              <w:jc w:val="right"/>
              <w:ind w:right="220"/>
              <w:spacing w:after="0"/>
              <w:rPr>
                <w:sz w:val="20"/>
                <w:szCs w:val="20"/>
                <w:color w:val="auto"/>
              </w:rPr>
            </w:pPr>
            <w:r>
              <w:rPr>
                <w:rFonts w:ascii="Arial" w:cs="Arial" w:eastAsia="Arial" w:hAnsi="Arial"/>
                <w:sz w:val="18"/>
                <w:szCs w:val="18"/>
                <w:color w:val="auto"/>
              </w:rPr>
              <w:t>5,582,350</w:t>
            </w:r>
          </w:p>
        </w:tc>
        <w:tc>
          <w:tcPr>
            <w:tcW w:w="1200" w:type="dxa"/>
            <w:vAlign w:val="bottom"/>
            <w:gridSpan w:val="2"/>
            <w:shd w:val="clear" w:color="auto" w:fill="D7E8F5"/>
          </w:tcPr>
          <w:p>
            <w:pPr>
              <w:jc w:val="right"/>
              <w:ind w:right="180"/>
              <w:spacing w:after="0"/>
              <w:rPr>
                <w:sz w:val="20"/>
                <w:szCs w:val="20"/>
                <w:color w:val="auto"/>
              </w:rPr>
            </w:pPr>
            <w:r>
              <w:rPr>
                <w:rFonts w:ascii="Arial" w:cs="Arial" w:eastAsia="Arial" w:hAnsi="Arial"/>
                <w:sz w:val="18"/>
                <w:szCs w:val="18"/>
                <w:color w:val="auto"/>
              </w:rPr>
              <w:t>6,583,990</w:t>
            </w:r>
          </w:p>
        </w:tc>
        <w:tc>
          <w:tcPr>
            <w:tcW w:w="1120" w:type="dxa"/>
            <w:vAlign w:val="bottom"/>
            <w:gridSpan w:val="2"/>
            <w:shd w:val="clear" w:color="auto" w:fill="D7E8F5"/>
          </w:tcPr>
          <w:p>
            <w:pPr>
              <w:jc w:val="right"/>
              <w:ind w:right="120"/>
              <w:spacing w:after="0"/>
              <w:rPr>
                <w:sz w:val="20"/>
                <w:szCs w:val="20"/>
                <w:color w:val="auto"/>
              </w:rPr>
            </w:pPr>
            <w:r>
              <w:rPr>
                <w:rFonts w:ascii="Arial" w:cs="Arial" w:eastAsia="Arial" w:hAnsi="Arial"/>
                <w:sz w:val="18"/>
                <w:szCs w:val="18"/>
                <w:color w:val="auto"/>
              </w:rPr>
              <w:t>2,334,450</w:t>
            </w:r>
          </w:p>
        </w:tc>
      </w:tr>
      <w:tr>
        <w:trPr>
          <w:trHeight w:val="63"/>
        </w:trPr>
        <w:tc>
          <w:tcPr>
            <w:tcW w:w="100" w:type="dxa"/>
            <w:vAlign w:val="bottom"/>
            <w:shd w:val="clear" w:color="auto" w:fill="D7E8F5"/>
          </w:tcPr>
          <w:p>
            <w:pPr>
              <w:spacing w:after="0"/>
              <w:rPr>
                <w:sz w:val="5"/>
                <w:szCs w:val="5"/>
                <w:color w:val="auto"/>
              </w:rPr>
            </w:pPr>
          </w:p>
        </w:tc>
        <w:tc>
          <w:tcPr>
            <w:tcW w:w="980" w:type="dxa"/>
            <w:vAlign w:val="bottom"/>
            <w:shd w:val="clear" w:color="auto" w:fill="D7E8F5"/>
          </w:tcPr>
          <w:p>
            <w:pPr>
              <w:spacing w:after="0"/>
              <w:rPr>
                <w:sz w:val="5"/>
                <w:szCs w:val="5"/>
                <w:color w:val="auto"/>
              </w:rPr>
            </w:pPr>
          </w:p>
        </w:tc>
        <w:tc>
          <w:tcPr>
            <w:tcW w:w="220" w:type="dxa"/>
            <w:vAlign w:val="bottom"/>
            <w:shd w:val="clear" w:color="auto" w:fill="D7E8F5"/>
          </w:tcPr>
          <w:p>
            <w:pPr>
              <w:spacing w:after="0"/>
              <w:rPr>
                <w:sz w:val="5"/>
                <w:szCs w:val="5"/>
                <w:color w:val="auto"/>
              </w:rPr>
            </w:pPr>
          </w:p>
        </w:tc>
        <w:tc>
          <w:tcPr>
            <w:tcW w:w="1020" w:type="dxa"/>
            <w:vAlign w:val="bottom"/>
            <w:shd w:val="clear" w:color="auto" w:fill="D7E8F5"/>
          </w:tcPr>
          <w:p>
            <w:pPr>
              <w:spacing w:after="0"/>
              <w:rPr>
                <w:sz w:val="5"/>
                <w:szCs w:val="5"/>
                <w:color w:val="auto"/>
              </w:rPr>
            </w:pPr>
          </w:p>
        </w:tc>
        <w:tc>
          <w:tcPr>
            <w:tcW w:w="220" w:type="dxa"/>
            <w:vAlign w:val="bottom"/>
            <w:shd w:val="clear" w:color="auto" w:fill="D7E8F5"/>
          </w:tcPr>
          <w:p>
            <w:pPr>
              <w:spacing w:after="0"/>
              <w:rPr>
                <w:sz w:val="5"/>
                <w:szCs w:val="5"/>
                <w:color w:val="auto"/>
              </w:rPr>
            </w:pPr>
          </w:p>
        </w:tc>
        <w:tc>
          <w:tcPr>
            <w:tcW w:w="1020" w:type="dxa"/>
            <w:vAlign w:val="bottom"/>
            <w:shd w:val="clear" w:color="auto" w:fill="D7E8F5"/>
          </w:tcPr>
          <w:p>
            <w:pPr>
              <w:spacing w:after="0"/>
              <w:rPr>
                <w:sz w:val="5"/>
                <w:szCs w:val="5"/>
                <w:color w:val="auto"/>
              </w:rPr>
            </w:pPr>
          </w:p>
        </w:tc>
        <w:tc>
          <w:tcPr>
            <w:tcW w:w="180" w:type="dxa"/>
            <w:vAlign w:val="bottom"/>
            <w:shd w:val="clear" w:color="auto" w:fill="D7E8F5"/>
          </w:tcPr>
          <w:p>
            <w:pPr>
              <w:spacing w:after="0"/>
              <w:rPr>
                <w:sz w:val="5"/>
                <w:szCs w:val="5"/>
                <w:color w:val="auto"/>
              </w:rPr>
            </w:pPr>
          </w:p>
        </w:tc>
        <w:tc>
          <w:tcPr>
            <w:tcW w:w="1000" w:type="dxa"/>
            <w:vAlign w:val="bottom"/>
            <w:shd w:val="clear" w:color="auto" w:fill="D7E8F5"/>
          </w:tcPr>
          <w:p>
            <w:pPr>
              <w:spacing w:after="0"/>
              <w:rPr>
                <w:sz w:val="5"/>
                <w:szCs w:val="5"/>
                <w:color w:val="auto"/>
              </w:rPr>
            </w:pPr>
          </w:p>
        </w:tc>
        <w:tc>
          <w:tcPr>
            <w:tcW w:w="120" w:type="dxa"/>
            <w:vAlign w:val="bottom"/>
            <w:shd w:val="clear" w:color="auto" w:fill="D7E8F5"/>
          </w:tcPr>
          <w:p>
            <w:pPr>
              <w:spacing w:after="0"/>
              <w:rPr>
                <w:sz w:val="5"/>
                <w:szCs w:val="5"/>
                <w:color w:val="auto"/>
              </w:rPr>
            </w:pPr>
          </w:p>
        </w:tc>
      </w:tr>
      <w:tr>
        <w:trPr>
          <w:trHeight w:val="895"/>
        </w:trPr>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(852,294)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3,941,750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962,260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389,660</w:t>
            </w:r>
          </w:p>
        </w:tc>
      </w:tr>
      <w:tr>
        <w:trPr>
          <w:trHeight w:val="63"/>
        </w:trPr>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697"/>
        </w:trPr>
        <w:tc>
          <w:tcPr>
            <w:tcW w:w="100" w:type="dxa"/>
            <w:vAlign w:val="bottom"/>
            <w:shd w:val="clear" w:color="auto" w:fill="D7E8F5"/>
          </w:tcPr>
          <w:p>
            <w:pPr>
              <w:spacing w:after="0"/>
              <w:rPr>
                <w:sz w:val="24"/>
                <w:szCs w:val="24"/>
                <w:color w:val="auto"/>
              </w:rPr>
            </w:pPr>
          </w:p>
        </w:tc>
        <w:tc>
          <w:tcPr>
            <w:tcW w:w="1200" w:type="dxa"/>
            <w:vAlign w:val="bottom"/>
            <w:gridSpan w:val="2"/>
            <w:shd w:val="clear" w:color="auto" w:fill="D7E8F5"/>
          </w:tcPr>
          <w:p>
            <w:pPr>
              <w:jc w:val="right"/>
              <w:ind w:right="160"/>
              <w:spacing w:after="0"/>
              <w:rPr>
                <w:sz w:val="20"/>
                <w:szCs w:val="20"/>
                <w:color w:val="auto"/>
              </w:rPr>
            </w:pPr>
            <w:r>
              <w:rPr>
                <w:rFonts w:ascii="Arial" w:cs="Arial" w:eastAsia="Arial" w:hAnsi="Arial"/>
                <w:sz w:val="18"/>
                <w:szCs w:val="18"/>
                <w:color w:val="auto"/>
              </w:rPr>
              <w:t>(895,923)</w:t>
            </w:r>
          </w:p>
        </w:tc>
        <w:tc>
          <w:tcPr>
            <w:tcW w:w="1240" w:type="dxa"/>
            <w:vAlign w:val="bottom"/>
            <w:gridSpan w:val="2"/>
            <w:shd w:val="clear" w:color="auto" w:fill="D7E8F5"/>
          </w:tcPr>
          <w:p>
            <w:pPr>
              <w:jc w:val="right"/>
              <w:ind w:right="220"/>
              <w:spacing w:after="0"/>
              <w:rPr>
                <w:sz w:val="20"/>
                <w:szCs w:val="20"/>
                <w:color w:val="auto"/>
              </w:rPr>
            </w:pPr>
            <w:r>
              <w:rPr>
                <w:rFonts w:ascii="Arial" w:cs="Arial" w:eastAsia="Arial" w:hAnsi="Arial"/>
                <w:sz w:val="18"/>
                <w:szCs w:val="18"/>
                <w:color w:val="auto"/>
              </w:rPr>
              <w:t>2,045,490</w:t>
            </w:r>
          </w:p>
        </w:tc>
        <w:tc>
          <w:tcPr>
            <w:tcW w:w="1200" w:type="dxa"/>
            <w:vAlign w:val="bottom"/>
            <w:gridSpan w:val="2"/>
            <w:shd w:val="clear" w:color="auto" w:fill="D7E8F5"/>
          </w:tcPr>
          <w:p>
            <w:pPr>
              <w:jc w:val="right"/>
              <w:ind w:right="180"/>
              <w:spacing w:after="0"/>
              <w:rPr>
                <w:sz w:val="20"/>
                <w:szCs w:val="20"/>
                <w:color w:val="auto"/>
              </w:rPr>
            </w:pPr>
            <w:r>
              <w:rPr>
                <w:rFonts w:ascii="Arial" w:cs="Arial" w:eastAsia="Arial" w:hAnsi="Arial"/>
                <w:sz w:val="18"/>
                <w:szCs w:val="18"/>
                <w:color w:val="auto"/>
              </w:rPr>
              <w:t>2,140,690</w:t>
            </w:r>
          </w:p>
        </w:tc>
        <w:tc>
          <w:tcPr>
            <w:tcW w:w="1120" w:type="dxa"/>
            <w:vAlign w:val="bottom"/>
            <w:gridSpan w:val="2"/>
            <w:shd w:val="clear" w:color="auto" w:fill="D7E8F5"/>
          </w:tcPr>
          <w:p>
            <w:pPr>
              <w:jc w:val="right"/>
              <w:ind w:right="120"/>
              <w:spacing w:after="0"/>
              <w:rPr>
                <w:sz w:val="20"/>
                <w:szCs w:val="20"/>
                <w:color w:val="auto"/>
              </w:rPr>
            </w:pPr>
            <w:r>
              <w:rPr>
                <w:rFonts w:ascii="Arial" w:cs="Arial" w:eastAsia="Arial" w:hAnsi="Arial"/>
                <w:sz w:val="18"/>
                <w:szCs w:val="18"/>
                <w:color w:val="auto"/>
              </w:rPr>
              <w:t>369,860</w:t>
            </w:r>
          </w:p>
        </w:tc>
      </w:tr>
      <w:tr>
        <w:trPr>
          <w:trHeight w:val="32"/>
        </w:trPr>
        <w:tc>
          <w:tcPr>
            <w:tcW w:w="100" w:type="dxa"/>
            <w:vAlign w:val="bottom"/>
            <w:shd w:val="clear" w:color="auto" w:fill="D7E8F5"/>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D7E8F5"/>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D7E8F5"/>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D7E8F5"/>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D7E8F5"/>
          </w:tcPr>
          <w:p>
            <w:pPr>
              <w:spacing w:after="0"/>
              <w:rPr>
                <w:sz w:val="2"/>
                <w:szCs w:val="2"/>
                <w:color w:val="auto"/>
              </w:rPr>
            </w:pPr>
          </w:p>
        </w:tc>
      </w:tr>
      <w:tr>
        <w:trPr>
          <w:trHeight w:val="288"/>
        </w:trPr>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1,574,481</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12,601,300</w:t>
            </w: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10,714,290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4,221,270</w:t>
            </w:r>
          </w:p>
        </w:tc>
      </w:tr>
    </w:tbl>
    <w:p>
      <w:pPr>
        <w:spacing w:after="0" w:line="162" w:lineRule="exact"/>
        <w:rPr>
          <w:sz w:val="20"/>
          <w:szCs w:val="20"/>
          <w:color w:val="auto"/>
        </w:rPr>
      </w:pPr>
    </w:p>
    <w:p>
      <w:pPr>
        <w:sectPr>
          <w:pgSz w:w="11900" w:h="16838" w:orient="portrait"/>
          <w:cols w:equalWidth="0" w:num="2">
            <w:col w:w="6240" w:space="40"/>
            <w:col w:w="4860"/>
          </w:cols>
          <w:pgMar w:left="320" w:top="482" w:right="439" w:bottom="1440" w:gutter="0" w:footer="0" w:header="0"/>
          <w:type w:val="continuous"/>
        </w:sectPr>
      </w:pPr>
    </w:p>
    <w:p>
      <w:pPr>
        <w:ind w:left="760" w:right="200" w:hanging="536"/>
        <w:spacing w:after="0" w:line="285" w:lineRule="auto"/>
        <w:tabs>
          <w:tab w:leader="none" w:pos="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determined the year-end fair value of PSUs for the year indicated. If the achievement of the performance condition for the PSU was not probable, as defined under applicable accounting guidance, then we assigned a fair value of $0.</w:t>
      </w:r>
    </w:p>
    <w:p>
      <w:pPr>
        <w:spacing w:after="0" w:line="184" w:lineRule="exact"/>
        <w:rPr>
          <w:rFonts w:ascii="Arial" w:cs="Arial" w:eastAsia="Arial" w:hAnsi="Arial"/>
          <w:sz w:val="14"/>
          <w:szCs w:val="14"/>
          <w:color w:val="auto"/>
        </w:rPr>
      </w:pPr>
    </w:p>
    <w:p>
      <w:pPr>
        <w:ind w:left="880" w:right="120" w:hanging="332"/>
        <w:spacing w:after="0" w:line="256" w:lineRule="auto"/>
        <w:tabs>
          <w:tab w:leader="none" w:pos="880" w:val="left"/>
        </w:tabs>
        <w:numPr>
          <w:ilvl w:val="1"/>
          <w:numId w:val="60"/>
        </w:numPr>
        <w:rPr>
          <w:rFonts w:ascii="Arial" w:cs="Arial" w:eastAsia="Arial" w:hAnsi="Arial"/>
          <w:sz w:val="14"/>
          <w:szCs w:val="14"/>
          <w:color w:val="auto"/>
        </w:rPr>
      </w:pPr>
      <w:r>
        <w:rPr>
          <w:rFonts w:ascii="Arial" w:cs="Arial" w:eastAsia="Arial" w:hAnsi="Arial"/>
          <w:sz w:val="14"/>
          <w:szCs w:val="14"/>
          <w:color w:val="auto"/>
        </w:rPr>
        <w:t>In calculating CAP reflected in these columns, the fair value or change in fair value, as applicable, of the equity award adjustments included in such calculations were calculated in accordance with FASB ASC Topic 718. We did not report a change in pension benefit values for any of the years reflected in the table, and therefore adjustments to pension benefit values were not included in calculating CAP reflected in these columns, because we do not sponsor, maintain or contribute to a defined benefit pension plan.</w:t>
      </w:r>
    </w:p>
    <w:p>
      <w:pPr>
        <w:spacing w:after="0" w:line="204" w:lineRule="exact"/>
        <w:rPr>
          <w:rFonts w:ascii="Arial" w:cs="Arial" w:eastAsia="Arial" w:hAnsi="Arial"/>
          <w:sz w:val="14"/>
          <w:szCs w:val="14"/>
          <w:color w:val="auto"/>
        </w:rPr>
      </w:pPr>
    </w:p>
    <w:p>
      <w:pPr>
        <w:ind w:left="880" w:right="60" w:hanging="332"/>
        <w:spacing w:after="0" w:line="256" w:lineRule="auto"/>
        <w:tabs>
          <w:tab w:leader="none" w:pos="880" w:val="left"/>
        </w:tabs>
        <w:numPr>
          <w:ilvl w:val="1"/>
          <w:numId w:val="60"/>
        </w:numPr>
        <w:rPr>
          <w:rFonts w:ascii="Arial" w:cs="Arial" w:eastAsia="Arial" w:hAnsi="Arial"/>
          <w:sz w:val="14"/>
          <w:szCs w:val="14"/>
          <w:color w:val="auto"/>
        </w:rPr>
      </w:pPr>
      <w:r>
        <w:rPr>
          <w:rFonts w:ascii="Arial" w:cs="Arial" w:eastAsia="Arial" w:hAnsi="Arial"/>
          <w:sz w:val="14"/>
          <w:szCs w:val="14"/>
          <w:color w:val="auto"/>
        </w:rPr>
        <w:t>The company TSR and the company’s Peer Group TSR reflected in these columns for each applicable fiscal year is calculated based on a fixed investment of $100 at the applicable measurement point on the same cumulative basis as is used in Item 201(e) of Regulation S-K. The peer group used to determine the company’s Peer Group TSR for each applicable fiscal year is the following published industry index, as disclosed in our Annual Report on Form 10-K for the year ended December 31, 2023 pursuant to Item 201(e) of Regulation S-K: Nasdaq Biotechnology Index (NBI).</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Pay versus Performance Comparative Disclosure</w:t>
      </w:r>
    </w:p>
    <w:p>
      <w:pPr>
        <w:spacing w:after="0" w:line="202" w:lineRule="exact"/>
        <w:rPr>
          <w:sz w:val="20"/>
          <w:szCs w:val="20"/>
          <w:color w:val="auto"/>
        </w:rPr>
      </w:pPr>
    </w:p>
    <w:p>
      <w:pPr>
        <w:ind w:left="120" w:right="180" w:firstLine="771"/>
        <w:spacing w:after="0" w:line="234" w:lineRule="auto"/>
        <w:rPr>
          <w:sz w:val="20"/>
          <w:szCs w:val="20"/>
          <w:color w:val="auto"/>
        </w:rPr>
      </w:pPr>
      <w:r>
        <w:rPr>
          <w:rFonts w:ascii="Arial" w:cs="Arial" w:eastAsia="Arial" w:hAnsi="Arial"/>
          <w:sz w:val="20"/>
          <w:szCs w:val="20"/>
          <w:color w:val="auto"/>
        </w:rPr>
        <w:t>The following reflect the relationships between (i) CAP to our PEO, and the average of CAP to our non-PEO NEOs, to our net income, (ii) CAP to our PEO, and the average of CAP to our non-PEO NEOs, to our cumulative total shareholder return and our cumulative total shareholder return to our peer group total shareholder return, and (iii) CAP to our PEO, and the average of CAP to our non-PEO NEOs, to our global net product revenues (the CSM), in each case for the years 2020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5478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547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27178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04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SAY-ON-PAY – ADVISORY VOTE ON</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EXECUTIVE COMPENSATION (PROPOSAL 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right="260" w:firstLine="771"/>
        <w:spacing w:after="0" w:line="237" w:lineRule="auto"/>
        <w:rPr>
          <w:sz w:val="20"/>
          <w:szCs w:val="20"/>
          <w:color w:val="auto"/>
        </w:rPr>
      </w:pPr>
      <w:r>
        <w:rPr>
          <w:rFonts w:ascii="Arial" w:cs="Arial" w:eastAsia="Arial" w:hAnsi="Arial"/>
          <w:sz w:val="20"/>
          <w:szCs w:val="20"/>
          <w:color w:val="auto"/>
        </w:rPr>
        <w:t>We are providing our stockholders with the opportunity to vote to approve, on an advisory, non-binding basis, the compensation of our NEOs as disclosed in this proxy statement in accordance with the SEC’s rules. This proposal, which is commonly referred to as “say-on-pay,” is required by the Dodd-Frank Wall Street Reform and Consumer Protection Act of 2010, which added Section 14A to the Exchange Act.</w:t>
      </w:r>
    </w:p>
    <w:p>
      <w:pPr>
        <w:spacing w:after="0" w:line="172" w:lineRule="exact"/>
        <w:rPr>
          <w:sz w:val="20"/>
          <w:szCs w:val="20"/>
          <w:color w:val="auto"/>
        </w:rPr>
      </w:pPr>
    </w:p>
    <w:p>
      <w:pPr>
        <w:ind w:left="120" w:right="60" w:firstLine="771"/>
        <w:spacing w:after="0" w:line="237" w:lineRule="auto"/>
        <w:rPr>
          <w:sz w:val="20"/>
          <w:szCs w:val="20"/>
          <w:color w:val="auto"/>
        </w:rPr>
      </w:pPr>
      <w:r>
        <w:rPr>
          <w:rFonts w:ascii="Arial" w:cs="Arial" w:eastAsia="Arial" w:hAnsi="Arial"/>
          <w:sz w:val="20"/>
          <w:szCs w:val="20"/>
          <w:color w:val="auto"/>
        </w:rPr>
        <w:t>We encourage stockholders to read closely the “Executive Compensation” section of this proxy statement beginning with the “Compensation Discussion and Analysis” on page 49, which describes in detail our executive compensation programs and the decisions made by our PC&amp;C committee and our board with respect to the fiscal year ended December 31, 2023.</w:t>
      </w:r>
    </w:p>
    <w:p>
      <w:pPr>
        <w:spacing w:after="0" w:line="172" w:lineRule="exact"/>
        <w:rPr>
          <w:sz w:val="20"/>
          <w:szCs w:val="20"/>
          <w:color w:val="auto"/>
        </w:rPr>
      </w:pPr>
    </w:p>
    <w:p>
      <w:pPr>
        <w:ind w:left="120" w:right="120" w:firstLine="771"/>
        <w:spacing w:after="0" w:line="241" w:lineRule="auto"/>
        <w:rPr>
          <w:sz w:val="20"/>
          <w:szCs w:val="20"/>
          <w:color w:val="auto"/>
        </w:rPr>
      </w:pPr>
      <w:r>
        <w:rPr>
          <w:rFonts w:ascii="Arial" w:cs="Arial" w:eastAsia="Arial" w:hAnsi="Arial"/>
          <w:sz w:val="19"/>
          <w:szCs w:val="19"/>
          <w:color w:val="auto"/>
        </w:rPr>
        <w:t>As we describe in the “Compensation Discussion and Analysis,” we maintain straight-forward executive compensation programs that generally consist of base salary, an annual cash incentive award and long-term equity incentive awards upon the commencement of employment and annually thereafter. These elements of compensation have been selected by our PC&amp;C committee because the committee believes that they effectively achieve the fundamental goals of our compensation program, which are to attract, motivate and retain qualified and talented executives, who are critical to our success, motivating them to achieve our business goals and rewarding them for superior short- and long-term performance. The goal of our PC&amp;C committee is to ensure that our compensation programs are aligned with the interests of our stockholders and our business goals in order to attain our ultimate objective of increasing stockholder value. We believe that, consistent with these goals, the total compensation paid to each of our NEOs is fair, reasonable and competitive. Further, we believe our programs do not encourage excessive risk-taking by management, as supported by the assessment described above conducted by Pay Governance, an independent compensation consultant to the PC&amp;C committee.</w:t>
      </w:r>
    </w:p>
    <w:p>
      <w:pPr>
        <w:spacing w:after="0" w:line="179" w:lineRule="exact"/>
        <w:rPr>
          <w:sz w:val="20"/>
          <w:szCs w:val="20"/>
          <w:color w:val="auto"/>
        </w:rPr>
      </w:pPr>
    </w:p>
    <w:p>
      <w:pPr>
        <w:ind w:left="120" w:right="60" w:firstLine="771"/>
        <w:spacing w:after="0" w:line="232" w:lineRule="auto"/>
        <w:rPr>
          <w:sz w:val="20"/>
          <w:szCs w:val="20"/>
          <w:color w:val="auto"/>
        </w:rPr>
      </w:pPr>
      <w:r>
        <w:rPr>
          <w:rFonts w:ascii="Arial" w:cs="Arial" w:eastAsia="Arial" w:hAnsi="Arial"/>
          <w:sz w:val="20"/>
          <w:szCs w:val="20"/>
          <w:color w:val="auto"/>
        </w:rPr>
        <w:t>With very limited exceptions, we do not provide any compensation or benefit plans to executive officers that are not also available to other employees. We generally differentiate among executive officers primarily based on size of annual cash incentive awards and annual equity incentive awards and, to a lesser extent, base salary. Annual compensation decisions for executive officers are made by our PC&amp;C committee, and, in the case of our CEO, recommended to our board of directors for approval, based on the achievement of pre-established corporate performance goals, and with respect to base salary and annual long-term equity incentive awards, consideration of the executive officer’s individual contributions to the achievement of the corporate goals, as described above under “Compensation Discussion and Analysis.”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Our board of directors is asking stockholders to approve, on a non-binding advisory basis, the following resolution:</w:t>
      </w:r>
    </w:p>
    <w:p>
      <w:pPr>
        <w:spacing w:after="0" w:line="94" w:lineRule="exact"/>
        <w:rPr>
          <w:sz w:val="20"/>
          <w:szCs w:val="20"/>
          <w:color w:val="auto"/>
        </w:rPr>
      </w:pPr>
    </w:p>
    <w:p>
      <w:pPr>
        <w:ind w:left="880" w:right="180" w:firstLine="717"/>
        <w:spacing w:after="0" w:line="237" w:lineRule="auto"/>
        <w:rPr>
          <w:sz w:val="20"/>
          <w:szCs w:val="20"/>
          <w:color w:val="auto"/>
        </w:rPr>
      </w:pPr>
      <w:r>
        <w:rPr>
          <w:rFonts w:ascii="Arial" w:cs="Arial" w:eastAsia="Arial" w:hAnsi="Arial"/>
          <w:sz w:val="20"/>
          <w:szCs w:val="20"/>
          <w:color w:val="auto"/>
        </w:rPr>
        <w:t>RESOLVED, that the compensation paid to the named executive officers of Alnylam Pharmaceuticals, Inc., as disclosed pursuant to the compensation disclosure rules of the SEC, including the compensation discussion and analysis, the compensation tables and any related material disclosed in the proxy statement of Alnylam Pharmaceuticals, Inc.,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160" w:firstLine="771"/>
        <w:spacing w:after="0" w:line="237" w:lineRule="auto"/>
        <w:rPr>
          <w:sz w:val="20"/>
          <w:szCs w:val="20"/>
          <w:color w:val="auto"/>
        </w:rPr>
      </w:pPr>
      <w:r>
        <w:rPr>
          <w:rFonts w:ascii="Arial" w:cs="Arial" w:eastAsia="Arial" w:hAnsi="Arial"/>
          <w:sz w:val="20"/>
          <w:szCs w:val="20"/>
          <w:color w:val="auto"/>
        </w:rPr>
        <w:t>As an advisory vote, this proposal is not binding. The outcome of this advisory vote will not overrule any decision by us or our board of directors (or any committee thereof). However, our PC&amp;C committee and board of directors value the opinions expressed by our stockholders in their vote on this proposal and will consider the outcome of the vote when making future compensation decisions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135890</wp:posOffset>
            </wp:positionV>
            <wp:extent cx="7003415" cy="11912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003415" cy="119126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1D3060"/>
        </w:rPr>
        <w:t>BOARD RECOMMENDATION</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D3060"/>
        </w:rPr>
        <w:t>Our board of directors unanimously recommends that you vote to approve the</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1D3060"/>
        </w:rPr>
        <w:t>compensation of our named executive officers by voting “FOR”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383540</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04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RATIFICATION OF APPOINTMENT OF</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INDEPENDENT AUDITORS (PROPOSAL 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right="40" w:firstLine="771"/>
        <w:spacing w:after="0" w:line="232" w:lineRule="auto"/>
        <w:rPr>
          <w:sz w:val="20"/>
          <w:szCs w:val="20"/>
          <w:color w:val="auto"/>
        </w:rPr>
      </w:pPr>
      <w:r>
        <w:rPr>
          <w:rFonts w:ascii="Arial" w:cs="Arial" w:eastAsia="Arial" w:hAnsi="Arial"/>
          <w:sz w:val="20"/>
          <w:szCs w:val="20"/>
          <w:color w:val="auto"/>
        </w:rPr>
        <w:t>Our board has appointed the firm of PricewaterhouseCoopers LLP, an independent registered public accounting firm, as our independent auditors for the fiscal year ending December 31, 2024. Although stockholder approval of our board’s appointment of PricewaterhouseCoopers LLP is not required by law, our board believes that it is advisable to give stockholders an opportunity to ratify this appointment. If this proposal is not approved at the annual meeting, our audit committee will reconsider its appointment of PricewaterhouseCoopers LLP. Representatives of PricewaterhouseCoopers LLP are expected to participate in the annual meeting and will have the opportunity to make a statement, if they desire to do so, and will be available to respond to appropriate questions from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298450</wp:posOffset>
            </wp:positionV>
            <wp:extent cx="7003415" cy="11055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00341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1D3060"/>
        </w:rPr>
        <w:t>BOARD RECOMMENDATION</w:t>
      </w:r>
    </w:p>
    <w:p>
      <w:pPr>
        <w:spacing w:after="0" w:line="226" w:lineRule="exact"/>
        <w:rPr>
          <w:sz w:val="20"/>
          <w:szCs w:val="20"/>
          <w:color w:val="auto"/>
        </w:rPr>
      </w:pPr>
    </w:p>
    <w:p>
      <w:pPr>
        <w:jc w:val="center"/>
        <w:ind w:left="440" w:right="1360"/>
        <w:spacing w:after="0" w:line="251" w:lineRule="auto"/>
        <w:rPr>
          <w:sz w:val="20"/>
          <w:szCs w:val="20"/>
          <w:color w:val="auto"/>
        </w:rPr>
      </w:pPr>
      <w:r>
        <w:rPr>
          <w:rFonts w:ascii="Arial" w:cs="Arial" w:eastAsia="Arial" w:hAnsi="Arial"/>
          <w:sz w:val="22"/>
          <w:szCs w:val="22"/>
          <w:b w:val="1"/>
          <w:bCs w:val="1"/>
          <w:color w:val="1D3060"/>
        </w:rPr>
        <w:t>Our board of directors unanimously recommends a vote “FOR” the ratification of the appointment of PricewaterhouseCoopers LLP as our independent auditors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81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8970" cy="63817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AUDIT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Report of the Audit Committee</w:t>
      </w:r>
    </w:p>
    <w:p>
      <w:pPr>
        <w:spacing w:after="0" w:line="96" w:lineRule="exact"/>
        <w:rPr>
          <w:sz w:val="20"/>
          <w:szCs w:val="20"/>
          <w:color w:val="auto"/>
        </w:rPr>
      </w:pPr>
    </w:p>
    <w:p>
      <w:pPr>
        <w:ind w:left="120" w:right="20" w:firstLine="771"/>
        <w:spacing w:after="0" w:line="231" w:lineRule="auto"/>
        <w:rPr>
          <w:sz w:val="20"/>
          <w:szCs w:val="20"/>
          <w:color w:val="auto"/>
        </w:rPr>
      </w:pPr>
      <w:r>
        <w:rPr>
          <w:rFonts w:ascii="Arial" w:cs="Arial" w:eastAsia="Arial" w:hAnsi="Arial"/>
          <w:sz w:val="20"/>
          <w:szCs w:val="20"/>
          <w:color w:val="auto"/>
        </w:rPr>
        <w:t>Our audit committee reports to and acts on behalf of our board by providing oversight of our financial management, related person transaction policies and procedures, audits of our financial statements and financial reporting controls and accounting policies and procedures. Our management is responsible for the preparation, presentation and integrity of our financial statements, the appropriateness of our accounting principles and reporting policies, and for establishing and maintaining adequate internal control over financial reporting. The independent registered public accounting firm is responsible for conducting an independent audit of our annual financial statements and our internal control over financial reporting. Our audit committee is responsible for independently overseeing the conduct of these activities by our management and our independent registered public accounting firm.</w:t>
      </w:r>
    </w:p>
    <w:p>
      <w:pPr>
        <w:spacing w:after="0" w:line="173" w:lineRule="exact"/>
        <w:rPr>
          <w:sz w:val="20"/>
          <w:szCs w:val="20"/>
          <w:color w:val="auto"/>
        </w:rPr>
      </w:pPr>
    </w:p>
    <w:p>
      <w:pPr>
        <w:ind w:left="120" w:right="80" w:firstLine="771"/>
        <w:spacing w:after="0" w:line="241" w:lineRule="auto"/>
        <w:rPr>
          <w:sz w:val="20"/>
          <w:szCs w:val="20"/>
          <w:color w:val="auto"/>
        </w:rPr>
      </w:pPr>
      <w:r>
        <w:rPr>
          <w:rFonts w:ascii="Arial" w:cs="Arial" w:eastAsia="Arial" w:hAnsi="Arial"/>
          <w:sz w:val="20"/>
          <w:szCs w:val="20"/>
          <w:color w:val="auto"/>
        </w:rPr>
        <w:t xml:space="preserve">Our audit committee operates under a written charter adopted by our board that reflects standards contained in the Nasdaq Marketplace Rules. Our audit committee reviews its charter annually. A complete copy of the current audit committee charter is posted on the Corporate Governance page of the Investors section of our website, </w:t>
      </w:r>
      <w:r>
        <w:rPr>
          <w:rFonts w:ascii="Arial" w:cs="Arial" w:eastAsia="Arial" w:hAnsi="Arial"/>
          <w:sz w:val="20"/>
          <w:szCs w:val="20"/>
          <w:i w:val="1"/>
          <w:iCs w:val="1"/>
          <w:u w:val="single" w:color="auto"/>
          <w:color w:val="2275B5"/>
        </w:rPr>
        <w:t>www.alnylam.com</w:t>
      </w:r>
      <w:r>
        <w:rPr>
          <w:rFonts w:ascii="Arial" w:cs="Arial" w:eastAsia="Arial" w:hAnsi="Arial"/>
          <w:sz w:val="20"/>
          <w:szCs w:val="20"/>
          <w:color w:val="auto"/>
        </w:rPr>
        <w:t>.</w:t>
      </w:r>
    </w:p>
    <w:p>
      <w:pPr>
        <w:spacing w:after="0" w:line="171" w:lineRule="exact"/>
        <w:rPr>
          <w:sz w:val="20"/>
          <w:szCs w:val="20"/>
          <w:color w:val="auto"/>
        </w:rPr>
      </w:pPr>
    </w:p>
    <w:p>
      <w:pPr>
        <w:ind w:left="120" w:right="280" w:firstLine="771"/>
        <w:spacing w:after="0" w:line="241" w:lineRule="auto"/>
        <w:rPr>
          <w:sz w:val="20"/>
          <w:szCs w:val="20"/>
          <w:color w:val="auto"/>
        </w:rPr>
      </w:pPr>
      <w:r>
        <w:rPr>
          <w:rFonts w:ascii="Arial" w:cs="Arial" w:eastAsia="Arial" w:hAnsi="Arial"/>
          <w:sz w:val="19"/>
          <w:szCs w:val="19"/>
          <w:color w:val="auto"/>
        </w:rPr>
        <w:t>Our audit committee has reviewed our audited financial statements for the fiscal year ended December 31, 2023, and has discussed them with our management and our independent registered public accounting firm, PricewaterhouseCoopers LLP. Our audit committee has also received from, and discussed with, PricewaterhouseCoopers LLP various communications that PricewaterhouseCoopers LLP is required to provide to our audit committee, including the matters required to be discussed by the Public Company Accounting Oversight Board, or PCAOB, Auditing Standard</w:t>
      </w:r>
    </w:p>
    <w:p>
      <w:pPr>
        <w:spacing w:after="0" w:line="1" w:lineRule="exact"/>
        <w:rPr>
          <w:sz w:val="20"/>
          <w:szCs w:val="20"/>
          <w:color w:val="auto"/>
        </w:rPr>
      </w:pPr>
    </w:p>
    <w:p>
      <w:pPr>
        <w:ind w:left="120" w:right="20"/>
        <w:spacing w:after="0" w:line="244" w:lineRule="auto"/>
        <w:rPr>
          <w:sz w:val="20"/>
          <w:szCs w:val="20"/>
          <w:color w:val="auto"/>
        </w:rPr>
      </w:pPr>
      <w:r>
        <w:rPr>
          <w:rFonts w:ascii="Arial" w:cs="Arial" w:eastAsia="Arial" w:hAnsi="Arial"/>
          <w:sz w:val="19"/>
          <w:szCs w:val="19"/>
          <w:color w:val="auto"/>
        </w:rPr>
        <w:t xml:space="preserve">No. 1301, </w:t>
      </w:r>
      <w:r>
        <w:rPr>
          <w:rFonts w:ascii="Arial" w:cs="Arial" w:eastAsia="Arial" w:hAnsi="Arial"/>
          <w:sz w:val="19"/>
          <w:szCs w:val="19"/>
          <w:i w:val="1"/>
          <w:iCs w:val="1"/>
          <w:color w:val="auto"/>
        </w:rPr>
        <w:t>Communications with Audit Committees</w:t>
      </w:r>
      <w:r>
        <w:rPr>
          <w:rFonts w:ascii="Arial" w:cs="Arial" w:eastAsia="Arial" w:hAnsi="Arial"/>
          <w:sz w:val="19"/>
          <w:szCs w:val="19"/>
          <w:color w:val="auto"/>
        </w:rPr>
        <w:t>, which requires the independent registered public accounting firm to provide the audit committee with additional information regarding the scope and results of the audit, including the independent registered public accounting firm’s responsibilities under PCAOB standards, significant issues or disagreements concerning our accounting practices or financial statements, significant accounting policies, critical accounting estimates, alternative accounting treatments, accounting for significant unusual transactions, and other judgments and uncertainties.</w:t>
      </w:r>
    </w:p>
    <w:p>
      <w:pPr>
        <w:spacing w:after="0" w:line="167" w:lineRule="exact"/>
        <w:rPr>
          <w:sz w:val="20"/>
          <w:szCs w:val="20"/>
          <w:color w:val="auto"/>
        </w:rPr>
      </w:pPr>
    </w:p>
    <w:p>
      <w:pPr>
        <w:ind w:left="120" w:right="40" w:firstLine="771"/>
        <w:spacing w:after="0" w:line="237" w:lineRule="auto"/>
        <w:rPr>
          <w:sz w:val="20"/>
          <w:szCs w:val="20"/>
          <w:color w:val="auto"/>
        </w:rPr>
      </w:pPr>
      <w:r>
        <w:rPr>
          <w:rFonts w:ascii="Arial" w:cs="Arial" w:eastAsia="Arial" w:hAnsi="Arial"/>
          <w:sz w:val="20"/>
          <w:szCs w:val="20"/>
          <w:color w:val="auto"/>
        </w:rPr>
        <w:t xml:space="preserve">In addition, PricewaterhouseCoopers LLP provided our audit committee with the written disclosures and the letter required by PCAOB Rule 3526, </w:t>
      </w:r>
      <w:r>
        <w:rPr>
          <w:rFonts w:ascii="Arial" w:cs="Arial" w:eastAsia="Arial" w:hAnsi="Arial"/>
          <w:sz w:val="20"/>
          <w:szCs w:val="20"/>
          <w:i w:val="1"/>
          <w:iCs w:val="1"/>
          <w:color w:val="auto"/>
        </w:rPr>
        <w:t>Communication with Audit Committees Concerning Independence</w:t>
      </w:r>
      <w:r>
        <w:rPr>
          <w:rFonts w:ascii="Arial" w:cs="Arial" w:eastAsia="Arial" w:hAnsi="Arial"/>
          <w:sz w:val="20"/>
          <w:szCs w:val="20"/>
          <w:color w:val="auto"/>
        </w:rPr>
        <w:t>, as amended, and our audit committee and PricewaterhouseCoopers LLP have discussed its independence from us and our management, including the matters in those written disclosures.</w:t>
      </w:r>
    </w:p>
    <w:p>
      <w:pPr>
        <w:spacing w:after="0" w:line="172" w:lineRule="exact"/>
        <w:rPr>
          <w:sz w:val="20"/>
          <w:szCs w:val="20"/>
          <w:color w:val="auto"/>
        </w:rPr>
      </w:pPr>
    </w:p>
    <w:p>
      <w:pPr>
        <w:ind w:left="120" w:right="120" w:firstLine="771"/>
        <w:spacing w:after="0" w:line="234" w:lineRule="auto"/>
        <w:rPr>
          <w:sz w:val="20"/>
          <w:szCs w:val="20"/>
          <w:color w:val="auto"/>
        </w:rPr>
      </w:pPr>
      <w:r>
        <w:rPr>
          <w:rFonts w:ascii="Arial" w:cs="Arial" w:eastAsia="Arial" w:hAnsi="Arial"/>
          <w:sz w:val="20"/>
          <w:szCs w:val="20"/>
          <w:color w:val="auto"/>
        </w:rPr>
        <w:t>In this context, our audit committee meets regularly with PricewaterhouseCoopers LLP and our management (including private sessions with each of PricewaterhouseCoopers LLP and members of management) to discuss any matters that our audit committee or these individuals believe should be discussed, including the matters required by the applicable requirements of the PCAOB and the SEC. Our audit committee conducts a meeting each quarter to review the financial statements prior to the public release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40" w:firstLine="771"/>
        <w:spacing w:after="0" w:line="248" w:lineRule="auto"/>
        <w:rPr>
          <w:sz w:val="20"/>
          <w:szCs w:val="20"/>
          <w:color w:val="auto"/>
        </w:rPr>
      </w:pPr>
      <w:r>
        <w:rPr>
          <w:rFonts w:ascii="Arial" w:cs="Arial" w:eastAsia="Arial" w:hAnsi="Arial"/>
          <w:sz w:val="19"/>
          <w:szCs w:val="19"/>
          <w:color w:val="auto"/>
        </w:rPr>
        <w:t>Based on its discussions with management and PricewaterhouseCoopers LLP, and its review of the representations and information provided by management and PricewaterhouseCoopers LLP, our audit committee recommended to our board that the audited financial statements be included in our Annual Report on Form 10-K for the year ended December 31, 2023. Our audit committee also recommended to our board, and our board has approved, subject to stockholder ratification, the appointment of PricewaterhouseCoopers LLP as our independent auditors for the fiscal year ending December 31, 2024.</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By the audit committee of the board of directors of Alnylam,</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Peter N. Kellogg, Chair</w:t>
      </w:r>
    </w:p>
    <w:p>
      <w:pPr>
        <w:ind w:left="880"/>
        <w:spacing w:after="0" w:line="229" w:lineRule="auto"/>
        <w:rPr>
          <w:sz w:val="20"/>
          <w:szCs w:val="20"/>
          <w:color w:val="auto"/>
        </w:rPr>
      </w:pPr>
      <w:r>
        <w:rPr>
          <w:rFonts w:ascii="Arial" w:cs="Arial" w:eastAsia="Arial" w:hAnsi="Arial"/>
          <w:sz w:val="20"/>
          <w:szCs w:val="20"/>
          <w:color w:val="auto"/>
        </w:rPr>
        <w:t>Olivier Brandicourt, M.D.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Colleen F. Reitan</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Principal Accountant Fees and Services</w:t>
      </w:r>
    </w:p>
    <w:p>
      <w:pPr>
        <w:spacing w:after="0" w:line="204" w:lineRule="exact"/>
        <w:rPr>
          <w:sz w:val="20"/>
          <w:szCs w:val="20"/>
          <w:color w:val="auto"/>
        </w:rPr>
      </w:pPr>
    </w:p>
    <w:p>
      <w:pPr>
        <w:ind w:left="120" w:right="380" w:firstLine="771"/>
        <w:spacing w:after="0" w:line="284" w:lineRule="auto"/>
        <w:rPr>
          <w:sz w:val="20"/>
          <w:szCs w:val="20"/>
          <w:color w:val="auto"/>
        </w:rPr>
      </w:pPr>
      <w:r>
        <w:rPr>
          <w:rFonts w:ascii="Arial" w:cs="Arial" w:eastAsia="Arial" w:hAnsi="Arial"/>
          <w:sz w:val="19"/>
          <w:szCs w:val="19"/>
          <w:color w:val="auto"/>
        </w:rPr>
        <w:t>The following table summarizes the fees that our independent auditors, PricewaterhouseCoopers LLP, an independent registered public accounting firm, billed to us for each of the last two fiscal years for audit and other services: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8680" w:type="dxa"/>
            <w:vAlign w:val="bottom"/>
            <w:shd w:val="clear" w:color="auto" w:fill="1D3060"/>
          </w:tcPr>
          <w:p>
            <w:pPr>
              <w:spacing w:after="0"/>
              <w:rPr>
                <w:sz w:val="20"/>
                <w:szCs w:val="20"/>
                <w:color w:val="auto"/>
              </w:rPr>
            </w:pPr>
            <w:r>
              <w:rPr>
                <w:rFonts w:ascii="Arial" w:cs="Arial" w:eastAsia="Arial" w:hAnsi="Arial"/>
                <w:sz w:val="20"/>
                <w:szCs w:val="20"/>
                <w:b w:val="1"/>
                <w:bCs w:val="1"/>
                <w:color w:val="FFFFFF"/>
              </w:rPr>
              <w:t>  Fee Category</w:t>
            </w:r>
          </w:p>
        </w:tc>
        <w:tc>
          <w:tcPr>
            <w:tcW w:w="1240" w:type="dxa"/>
            <w:vAlign w:val="bottom"/>
            <w:shd w:val="clear" w:color="auto" w:fill="1D3060"/>
          </w:tcPr>
          <w:p>
            <w:pPr>
              <w:jc w:val="right"/>
              <w:ind w:right="209"/>
              <w:spacing w:after="0"/>
              <w:rPr>
                <w:sz w:val="20"/>
                <w:szCs w:val="20"/>
                <w:color w:val="auto"/>
              </w:rPr>
            </w:pPr>
            <w:r>
              <w:rPr>
                <w:rFonts w:ascii="Arial" w:cs="Arial" w:eastAsia="Arial" w:hAnsi="Arial"/>
                <w:sz w:val="20"/>
                <w:szCs w:val="20"/>
                <w:b w:val="1"/>
                <w:bCs w:val="1"/>
                <w:color w:val="FFFFFF"/>
              </w:rPr>
              <w:t>2023($)</w:t>
            </w:r>
          </w:p>
        </w:tc>
        <w:tc>
          <w:tcPr>
            <w:tcW w:w="1100" w:type="dxa"/>
            <w:vAlign w:val="bottom"/>
            <w:shd w:val="clear" w:color="auto" w:fill="1D3060"/>
          </w:tcPr>
          <w:p>
            <w:pPr>
              <w:jc w:val="right"/>
              <w:ind w:right="149"/>
              <w:spacing w:after="0"/>
              <w:rPr>
                <w:sz w:val="20"/>
                <w:szCs w:val="20"/>
                <w:color w:val="auto"/>
              </w:rPr>
            </w:pPr>
            <w:r>
              <w:rPr>
                <w:rFonts w:ascii="Arial" w:cs="Arial" w:eastAsia="Arial" w:hAnsi="Arial"/>
                <w:sz w:val="20"/>
                <w:szCs w:val="20"/>
                <w:b w:val="1"/>
                <w:bCs w:val="1"/>
                <w:color w:val="FFFFFF"/>
              </w:rPr>
              <w:t>2022($)</w:t>
            </w:r>
          </w:p>
        </w:tc>
      </w:tr>
      <w:tr>
        <w:trPr>
          <w:trHeight w:val="290"/>
        </w:trPr>
        <w:tc>
          <w:tcPr>
            <w:tcW w:w="86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8"/>
                <w:szCs w:val="18"/>
                <w:color w:val="auto"/>
              </w:rPr>
              <w:t>   Audit Fees(1)</w:t>
            </w:r>
          </w:p>
        </w:tc>
        <w:tc>
          <w:tcPr>
            <w:tcW w:w="1240" w:type="dxa"/>
            <w:vAlign w:val="bottom"/>
            <w:tcBorders>
              <w:bottom w:val="single" w:sz="8" w:color="D7E8F5"/>
            </w:tcBorders>
            <w:shd w:val="clear" w:color="auto" w:fill="D7E8F5"/>
          </w:tcPr>
          <w:p>
            <w:pPr>
              <w:jc w:val="right"/>
              <w:ind w:right="109"/>
              <w:spacing w:after="0"/>
              <w:rPr>
                <w:sz w:val="20"/>
                <w:szCs w:val="20"/>
                <w:color w:val="auto"/>
              </w:rPr>
            </w:pPr>
            <w:r>
              <w:rPr>
                <w:rFonts w:ascii="Arial" w:cs="Arial" w:eastAsia="Arial" w:hAnsi="Arial"/>
                <w:sz w:val="18"/>
                <w:szCs w:val="18"/>
                <w:color w:val="auto"/>
                <w:shd w:val="clear" w:color="auto" w:fill="D7E8F5"/>
              </w:rPr>
              <w:t>3,578,550</w:t>
            </w:r>
          </w:p>
        </w:tc>
        <w:tc>
          <w:tcPr>
            <w:tcW w:w="1100" w:type="dxa"/>
            <w:vAlign w:val="bottom"/>
            <w:tcBorders>
              <w:bottom w:val="single" w:sz="8" w:color="D7E8F5"/>
            </w:tcBorders>
            <w:shd w:val="clear" w:color="auto" w:fill="D7E8F5"/>
          </w:tcPr>
          <w:p>
            <w:pPr>
              <w:jc w:val="right"/>
              <w:ind w:right="29"/>
              <w:spacing w:after="0"/>
              <w:rPr>
                <w:sz w:val="20"/>
                <w:szCs w:val="20"/>
                <w:color w:val="auto"/>
              </w:rPr>
            </w:pPr>
            <w:r>
              <w:rPr>
                <w:rFonts w:ascii="Arial" w:cs="Arial" w:eastAsia="Arial" w:hAnsi="Arial"/>
                <w:sz w:val="18"/>
                <w:szCs w:val="18"/>
                <w:color w:val="auto"/>
                <w:shd w:val="clear" w:color="auto" w:fill="D7E8F5"/>
              </w:rPr>
              <w:t>3,478,700</w:t>
            </w:r>
          </w:p>
        </w:tc>
      </w:tr>
      <w:tr>
        <w:trPr>
          <w:trHeight w:val="274"/>
        </w:trPr>
        <w:tc>
          <w:tcPr>
            <w:tcW w:w="8680" w:type="dxa"/>
            <w:vAlign w:val="bottom"/>
          </w:tcPr>
          <w:p>
            <w:pPr>
              <w:spacing w:after="0"/>
              <w:rPr>
                <w:sz w:val="20"/>
                <w:szCs w:val="20"/>
                <w:color w:val="auto"/>
              </w:rPr>
            </w:pPr>
            <w:r>
              <w:rPr>
                <w:rFonts w:ascii="Arial" w:cs="Arial" w:eastAsia="Arial" w:hAnsi="Arial"/>
                <w:sz w:val="18"/>
                <w:szCs w:val="18"/>
                <w:color w:val="auto"/>
              </w:rPr>
              <w:t>   Audit-Related Fees</w:t>
            </w:r>
          </w:p>
        </w:tc>
        <w:tc>
          <w:tcPr>
            <w:tcW w:w="1240" w:type="dxa"/>
            <w:vAlign w:val="bottom"/>
          </w:tcPr>
          <w:p>
            <w:pPr>
              <w:jc w:val="right"/>
              <w:ind w:right="109"/>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
              <w:spacing w:after="0"/>
              <w:rPr>
                <w:sz w:val="20"/>
                <w:szCs w:val="20"/>
                <w:color w:val="auto"/>
              </w:rPr>
            </w:pPr>
            <w:r>
              <w:rPr>
                <w:rFonts w:ascii="Arial" w:cs="Arial" w:eastAsia="Arial" w:hAnsi="Arial"/>
                <w:sz w:val="18"/>
                <w:szCs w:val="18"/>
                <w:color w:val="auto"/>
              </w:rPr>
              <w:t>—</w:t>
            </w:r>
          </w:p>
        </w:tc>
      </w:tr>
      <w:tr>
        <w:trPr>
          <w:trHeight w:val="36"/>
        </w:trPr>
        <w:tc>
          <w:tcPr>
            <w:tcW w:w="86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1"/>
        </w:trPr>
        <w:tc>
          <w:tcPr>
            <w:tcW w:w="8680" w:type="dxa"/>
            <w:vAlign w:val="bottom"/>
            <w:tcBorders>
              <w:bottom w:val="single" w:sz="8" w:color="D7E8F5"/>
            </w:tcBorders>
            <w:shd w:val="clear" w:color="auto" w:fill="D7E8F5"/>
          </w:tcPr>
          <w:p>
            <w:pPr>
              <w:spacing w:after="0"/>
              <w:rPr>
                <w:sz w:val="20"/>
                <w:szCs w:val="20"/>
                <w:color w:val="auto"/>
              </w:rPr>
            </w:pPr>
            <w:r>
              <w:rPr>
                <w:rFonts w:ascii="Arial" w:cs="Arial" w:eastAsia="Arial" w:hAnsi="Arial"/>
                <w:sz w:val="18"/>
                <w:szCs w:val="18"/>
                <w:color w:val="auto"/>
              </w:rPr>
              <w:t>   Tax Fees(2)</w:t>
            </w:r>
          </w:p>
        </w:tc>
        <w:tc>
          <w:tcPr>
            <w:tcW w:w="1240" w:type="dxa"/>
            <w:vAlign w:val="bottom"/>
            <w:tcBorders>
              <w:bottom w:val="single" w:sz="8" w:color="D7E8F5"/>
            </w:tcBorders>
            <w:shd w:val="clear" w:color="auto" w:fill="D7E8F5"/>
          </w:tcPr>
          <w:p>
            <w:pPr>
              <w:jc w:val="right"/>
              <w:ind w:right="109"/>
              <w:spacing w:after="0"/>
              <w:rPr>
                <w:sz w:val="20"/>
                <w:szCs w:val="20"/>
                <w:color w:val="auto"/>
              </w:rPr>
            </w:pPr>
            <w:r>
              <w:rPr>
                <w:rFonts w:ascii="Arial" w:cs="Arial" w:eastAsia="Arial" w:hAnsi="Arial"/>
                <w:sz w:val="18"/>
                <w:szCs w:val="18"/>
                <w:color w:val="auto"/>
              </w:rPr>
              <w:t>80,000</w:t>
            </w:r>
          </w:p>
        </w:tc>
        <w:tc>
          <w:tcPr>
            <w:tcW w:w="1100" w:type="dxa"/>
            <w:vAlign w:val="bottom"/>
            <w:tcBorders>
              <w:bottom w:val="single" w:sz="8" w:color="D7E8F5"/>
            </w:tcBorders>
            <w:shd w:val="clear" w:color="auto" w:fill="D7E8F5"/>
          </w:tcPr>
          <w:p>
            <w:pPr>
              <w:jc w:val="right"/>
              <w:ind w:right="29"/>
              <w:spacing w:after="0"/>
              <w:rPr>
                <w:sz w:val="20"/>
                <w:szCs w:val="20"/>
                <w:color w:val="auto"/>
              </w:rPr>
            </w:pPr>
            <w:r>
              <w:rPr>
                <w:rFonts w:ascii="Arial" w:cs="Arial" w:eastAsia="Arial" w:hAnsi="Arial"/>
                <w:sz w:val="18"/>
                <w:szCs w:val="18"/>
                <w:color w:val="auto"/>
              </w:rPr>
              <w:t>130,000</w:t>
            </w:r>
          </w:p>
        </w:tc>
      </w:tr>
      <w:tr>
        <w:trPr>
          <w:trHeight w:val="274"/>
        </w:trPr>
        <w:tc>
          <w:tcPr>
            <w:tcW w:w="8680" w:type="dxa"/>
            <w:vAlign w:val="bottom"/>
          </w:tcPr>
          <w:p>
            <w:pPr>
              <w:spacing w:after="0"/>
              <w:rPr>
                <w:sz w:val="20"/>
                <w:szCs w:val="20"/>
                <w:color w:val="auto"/>
              </w:rPr>
            </w:pPr>
            <w:r>
              <w:rPr>
                <w:rFonts w:ascii="Arial" w:cs="Arial" w:eastAsia="Arial" w:hAnsi="Arial"/>
                <w:sz w:val="18"/>
                <w:szCs w:val="18"/>
                <w:color w:val="auto"/>
              </w:rPr>
              <w:t>   All Other Fees(3)</w:t>
            </w:r>
          </w:p>
        </w:tc>
        <w:tc>
          <w:tcPr>
            <w:tcW w:w="1240" w:type="dxa"/>
            <w:vAlign w:val="bottom"/>
          </w:tcPr>
          <w:p>
            <w:pPr>
              <w:jc w:val="right"/>
              <w:ind w:right="109"/>
              <w:spacing w:after="0"/>
              <w:rPr>
                <w:sz w:val="20"/>
                <w:szCs w:val="20"/>
                <w:color w:val="auto"/>
              </w:rPr>
            </w:pPr>
            <w:r>
              <w:rPr>
                <w:rFonts w:ascii="Arial" w:cs="Arial" w:eastAsia="Arial" w:hAnsi="Arial"/>
                <w:sz w:val="18"/>
                <w:szCs w:val="18"/>
                <w:color w:val="auto"/>
              </w:rPr>
              <w:t>9,720</w:t>
            </w:r>
          </w:p>
        </w:tc>
        <w:tc>
          <w:tcPr>
            <w:tcW w:w="1100" w:type="dxa"/>
            <w:vAlign w:val="bottom"/>
          </w:tcPr>
          <w:p>
            <w:pPr>
              <w:jc w:val="right"/>
              <w:ind w:right="29"/>
              <w:spacing w:after="0"/>
              <w:rPr>
                <w:sz w:val="20"/>
                <w:szCs w:val="20"/>
                <w:color w:val="auto"/>
              </w:rPr>
            </w:pPr>
            <w:r>
              <w:rPr>
                <w:rFonts w:ascii="Arial" w:cs="Arial" w:eastAsia="Arial" w:hAnsi="Arial"/>
                <w:sz w:val="18"/>
                <w:szCs w:val="18"/>
                <w:color w:val="auto"/>
              </w:rPr>
              <w:t>9,720</w:t>
            </w:r>
          </w:p>
        </w:tc>
      </w:tr>
      <w:tr>
        <w:trPr>
          <w:trHeight w:val="36"/>
        </w:trPr>
        <w:tc>
          <w:tcPr>
            <w:tcW w:w="8680" w:type="dxa"/>
            <w:vAlign w:val="bottom"/>
            <w:tcBorders>
              <w:bottom w:val="single" w:sz="8" w:color="1D3060"/>
            </w:tcBorders>
          </w:tcPr>
          <w:p>
            <w:pPr>
              <w:spacing w:after="0"/>
              <w:rPr>
                <w:sz w:val="3"/>
                <w:szCs w:val="3"/>
                <w:color w:val="auto"/>
              </w:rPr>
            </w:pPr>
          </w:p>
        </w:tc>
        <w:tc>
          <w:tcPr>
            <w:tcW w:w="1240" w:type="dxa"/>
            <w:vAlign w:val="bottom"/>
            <w:tcBorders>
              <w:bottom w:val="single" w:sz="8" w:color="1D3060"/>
            </w:tcBorders>
          </w:tcPr>
          <w:p>
            <w:pPr>
              <w:spacing w:after="0"/>
              <w:rPr>
                <w:sz w:val="3"/>
                <w:szCs w:val="3"/>
                <w:color w:val="auto"/>
              </w:rPr>
            </w:pPr>
          </w:p>
        </w:tc>
        <w:tc>
          <w:tcPr>
            <w:tcW w:w="1100" w:type="dxa"/>
            <w:vAlign w:val="bottom"/>
            <w:tcBorders>
              <w:bottom w:val="single" w:sz="8" w:color="1D3060"/>
            </w:tcBorders>
          </w:tcPr>
          <w:p>
            <w:pPr>
              <w:spacing w:after="0"/>
              <w:rPr>
                <w:sz w:val="3"/>
                <w:szCs w:val="3"/>
                <w:color w:val="auto"/>
              </w:rPr>
            </w:pPr>
          </w:p>
        </w:tc>
      </w:tr>
      <w:tr>
        <w:trPr>
          <w:trHeight w:val="237"/>
        </w:trPr>
        <w:tc>
          <w:tcPr>
            <w:tcW w:w="8680" w:type="dxa"/>
            <w:vAlign w:val="bottom"/>
            <w:tcBorders>
              <w:bottom w:val="single" w:sz="8" w:color="1D3060"/>
            </w:tcBorders>
            <w:shd w:val="clear" w:color="auto" w:fill="D7E8F5"/>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Total Fees</w:t>
            </w:r>
          </w:p>
        </w:tc>
        <w:tc>
          <w:tcPr>
            <w:tcW w:w="1240" w:type="dxa"/>
            <w:vAlign w:val="bottom"/>
            <w:tcBorders>
              <w:bottom w:val="single" w:sz="8" w:color="1D3060"/>
            </w:tcBorders>
            <w:shd w:val="clear" w:color="auto" w:fill="D7E8F5"/>
          </w:tcPr>
          <w:p>
            <w:pPr>
              <w:jc w:val="right"/>
              <w:ind w:right="109"/>
              <w:spacing w:after="0"/>
              <w:rPr>
                <w:sz w:val="20"/>
                <w:szCs w:val="20"/>
                <w:color w:val="auto"/>
              </w:rPr>
            </w:pPr>
            <w:r>
              <w:rPr>
                <w:rFonts w:ascii="Arial" w:cs="Arial" w:eastAsia="Arial" w:hAnsi="Arial"/>
                <w:sz w:val="18"/>
                <w:szCs w:val="18"/>
                <w:b w:val="1"/>
                <w:bCs w:val="1"/>
                <w:color w:val="auto"/>
              </w:rPr>
              <w:t>3,668,270</w:t>
            </w:r>
          </w:p>
        </w:tc>
        <w:tc>
          <w:tcPr>
            <w:tcW w:w="1100" w:type="dxa"/>
            <w:vAlign w:val="bottom"/>
            <w:tcBorders>
              <w:bottom w:val="single" w:sz="8" w:color="1D3060"/>
            </w:tcBorders>
            <w:shd w:val="clear" w:color="auto" w:fill="D7E8F5"/>
          </w:tcPr>
          <w:p>
            <w:pPr>
              <w:jc w:val="right"/>
              <w:ind w:right="29"/>
              <w:spacing w:after="0"/>
              <w:rPr>
                <w:sz w:val="20"/>
                <w:szCs w:val="20"/>
                <w:color w:val="auto"/>
              </w:rPr>
            </w:pPr>
            <w:r>
              <w:rPr>
                <w:rFonts w:ascii="Arial" w:cs="Arial" w:eastAsia="Arial" w:hAnsi="Arial"/>
                <w:sz w:val="18"/>
                <w:szCs w:val="18"/>
                <w:b w:val="1"/>
                <w:bCs w:val="1"/>
                <w:color w:val="auto"/>
              </w:rPr>
              <w:t>3,618,420</w:t>
            </w:r>
          </w:p>
        </w:tc>
      </w:tr>
    </w:tbl>
    <w:p>
      <w:pPr>
        <w:spacing w:after="0" w:line="107" w:lineRule="exact"/>
        <w:rPr>
          <w:sz w:val="20"/>
          <w:szCs w:val="20"/>
          <w:color w:val="auto"/>
        </w:rPr>
      </w:pPr>
    </w:p>
    <w:p>
      <w:pPr>
        <w:ind w:left="880" w:right="100" w:hanging="764"/>
        <w:spacing w:after="0" w:line="259"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“Audit Fees” consist of fees for the audit of our annual financial statements, the review of the interim financial statements included in our quarterly reports on Form 10-Q, statutory audits of our international operations, and other professional services provided in connection with regulatory filings or audit engagements. In 2023, this amount also includes $150,000 for fees in connection with the review of the consolidated financial statements incorporated by reference into our outstanding Japanese registration statements.</w:t>
      </w:r>
    </w:p>
    <w:p>
      <w:pPr>
        <w:spacing w:after="0" w:line="83" w:lineRule="exact"/>
        <w:rPr>
          <w:rFonts w:ascii="Arial" w:cs="Arial" w:eastAsia="Arial" w:hAnsi="Arial"/>
          <w:sz w:val="16"/>
          <w:szCs w:val="16"/>
          <w:color w:val="auto"/>
        </w:rPr>
      </w:pPr>
    </w:p>
    <w:p>
      <w:pPr>
        <w:ind w:left="880" w:hanging="764"/>
        <w:spacing w:after="0"/>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“Tax Fees” in 2023 and 2022 consist of fees for procedures completed in connection with a research and development tax credit study.</w:t>
      </w:r>
    </w:p>
    <w:p>
      <w:pPr>
        <w:spacing w:after="0" w:line="126" w:lineRule="exact"/>
        <w:rPr>
          <w:rFonts w:ascii="Arial" w:cs="Arial" w:eastAsia="Arial" w:hAnsi="Arial"/>
          <w:sz w:val="16"/>
          <w:szCs w:val="16"/>
          <w:color w:val="auto"/>
        </w:rPr>
      </w:pPr>
    </w:p>
    <w:p>
      <w:pPr>
        <w:ind w:left="880" w:right="120" w:hanging="764"/>
        <w:spacing w:after="0" w:line="286"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Other Fees” in 2023 and 2022 represent non-audit fees in connection with access to the PricewaterhouseCoopers LLP on-line accounting research and disclosures database.</w:t>
      </w:r>
    </w:p>
    <w:p>
      <w:pPr>
        <w:spacing w:after="0" w:line="148" w:lineRule="exact"/>
        <w:rPr>
          <w:sz w:val="20"/>
          <w:szCs w:val="20"/>
          <w:color w:val="auto"/>
        </w:rPr>
      </w:pPr>
    </w:p>
    <w:p>
      <w:pPr>
        <w:ind w:left="120" w:right="1140" w:firstLine="771"/>
        <w:spacing w:after="0" w:line="257" w:lineRule="auto"/>
        <w:rPr>
          <w:sz w:val="20"/>
          <w:szCs w:val="20"/>
          <w:color w:val="auto"/>
        </w:rPr>
      </w:pPr>
      <w:r>
        <w:rPr>
          <w:rFonts w:ascii="Arial" w:cs="Arial" w:eastAsia="Arial" w:hAnsi="Arial"/>
          <w:sz w:val="20"/>
          <w:szCs w:val="20"/>
          <w:color w:val="auto"/>
        </w:rPr>
        <w:t>All such accountant services and fees were pre-approved by our audit committee in accordance with the “Pre-Approval Policies and Procedures” described below.</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Pre-Approval Policies and Procedures</w:t>
      </w:r>
    </w:p>
    <w:p>
      <w:pPr>
        <w:spacing w:after="0" w:line="204" w:lineRule="exact"/>
        <w:rPr>
          <w:sz w:val="20"/>
          <w:szCs w:val="20"/>
          <w:color w:val="auto"/>
        </w:rPr>
      </w:pPr>
    </w:p>
    <w:p>
      <w:pPr>
        <w:ind w:left="120" w:right="300" w:firstLine="771"/>
        <w:spacing w:after="0" w:line="241" w:lineRule="auto"/>
        <w:rPr>
          <w:sz w:val="20"/>
          <w:szCs w:val="20"/>
          <w:color w:val="auto"/>
        </w:rPr>
      </w:pPr>
      <w:r>
        <w:rPr>
          <w:rFonts w:ascii="Arial" w:cs="Arial" w:eastAsia="Arial" w:hAnsi="Arial"/>
          <w:sz w:val="20"/>
          <w:szCs w:val="20"/>
          <w:color w:val="auto"/>
        </w:rPr>
        <w:t>Our audit committee is required to pre-approve all audit services to be provided to us by our principal independent auditors, as well as all other services to be provided to us by such independent auditors, except that de minimis non-audit services may be approved in accordance with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042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IMPORTANT INFORMATION ABOUT THE</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ANNUAL MEETING AND VOTING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Notice and Access</w:t>
      </w:r>
    </w:p>
    <w:p>
      <w:pPr>
        <w:spacing w:after="0" w:line="204" w:lineRule="exact"/>
        <w:rPr>
          <w:sz w:val="20"/>
          <w:szCs w:val="20"/>
          <w:color w:val="auto"/>
        </w:rPr>
      </w:pPr>
    </w:p>
    <w:p>
      <w:pPr>
        <w:ind w:left="120" w:right="20" w:firstLine="771"/>
        <w:spacing w:after="0" w:line="230" w:lineRule="auto"/>
        <w:rPr>
          <w:sz w:val="20"/>
          <w:szCs w:val="20"/>
          <w:color w:val="auto"/>
        </w:rPr>
      </w:pPr>
      <w:r>
        <w:rPr>
          <w:rFonts w:ascii="Arial" w:cs="Arial" w:eastAsia="Arial" w:hAnsi="Arial"/>
          <w:sz w:val="20"/>
          <w:szCs w:val="20"/>
          <w:color w:val="auto"/>
        </w:rPr>
        <w:t>We have made these proxy materials available to you on the Internet in connection with the solicitation by our board of directors of proxies to be voted at our 2024 annual meeting of stockholders to be held online on Thursday, May 16, 2024 at 10:30 a.m., Eastern Time (ET). We have elected to provide access to our proxy materials over the Internet under the SEC’s “notice and access” rules. On or about April 3, 2024, we will mail to our stockholders a Notice of Internet Availability containing instructions on how to access our proxy materials, including our proxy statement and our 2023 Annual Report. We believe that providing our proxy materials over the Internet expedites stockholders’ receipt of proxy materials, lowers costs and reduces the environmental impact of our annual meeting. As a stockholder of Alnylam, you are invited to participate in our annual meeting virtually via the Internet, and are entitled and requested to vote on the proposals described in this proxy statement. The Notice of Internet Availability instructs you on how to submit your proxy or voting instructions through the Internet.</w:t>
      </w:r>
    </w:p>
    <w:p>
      <w:pPr>
        <w:spacing w:after="0" w:line="172" w:lineRule="exact"/>
        <w:rPr>
          <w:sz w:val="20"/>
          <w:szCs w:val="20"/>
          <w:color w:val="auto"/>
        </w:rPr>
      </w:pPr>
    </w:p>
    <w:p>
      <w:pPr>
        <w:ind w:left="120" w:right="40" w:firstLine="771"/>
        <w:spacing w:after="0" w:line="232" w:lineRule="auto"/>
        <w:rPr>
          <w:sz w:val="20"/>
          <w:szCs w:val="20"/>
          <w:color w:val="auto"/>
        </w:rPr>
      </w:pPr>
      <w:r>
        <w:rPr>
          <w:rFonts w:ascii="Arial" w:cs="Arial" w:eastAsia="Arial" w:hAnsi="Arial"/>
          <w:sz w:val="20"/>
          <w:szCs w:val="20"/>
          <w:color w:val="auto"/>
        </w:rPr>
        <w:t>In accordance with the SEC rules, we may furnish proxy materials, including this proxy statement and our 2023 Annual Report, to our stockholders by providing access to such documents on the Internet instead of mailing printed copies. If you would like to receive a paper copy of our proxy materials, the Notice of Internet Availability instructs you on how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Who Can Vote</w:t>
      </w:r>
    </w:p>
    <w:p>
      <w:pPr>
        <w:spacing w:after="0" w:line="204" w:lineRule="exact"/>
        <w:rPr>
          <w:sz w:val="20"/>
          <w:szCs w:val="20"/>
          <w:color w:val="auto"/>
        </w:rPr>
      </w:pPr>
    </w:p>
    <w:p>
      <w:pPr>
        <w:ind w:left="120" w:right="340" w:firstLine="771"/>
        <w:spacing w:after="0" w:line="284" w:lineRule="auto"/>
        <w:rPr>
          <w:sz w:val="20"/>
          <w:szCs w:val="20"/>
          <w:color w:val="auto"/>
        </w:rPr>
      </w:pPr>
      <w:r>
        <w:rPr>
          <w:rFonts w:ascii="Arial" w:cs="Arial" w:eastAsia="Arial" w:hAnsi="Arial"/>
          <w:sz w:val="19"/>
          <w:szCs w:val="19"/>
          <w:color w:val="auto"/>
        </w:rPr>
        <w:t>To be entitled to vote, you must be a stockholder of record at the close of business on March 22, 2024, the record date for our annual meeting. As of the record date, there were 126,452,099 shares of our common stock outstanding.</w:t>
      </w:r>
    </w:p>
    <w:p>
      <w:pPr>
        <w:spacing w:after="0" w:line="131" w:lineRule="exact"/>
        <w:rPr>
          <w:sz w:val="20"/>
          <w:szCs w:val="20"/>
          <w:color w:val="auto"/>
        </w:rPr>
      </w:pPr>
    </w:p>
    <w:p>
      <w:pPr>
        <w:ind w:left="120" w:right="100" w:firstLine="771"/>
        <w:spacing w:after="0" w:line="257" w:lineRule="auto"/>
        <w:rPr>
          <w:sz w:val="20"/>
          <w:szCs w:val="20"/>
          <w:color w:val="auto"/>
        </w:rPr>
      </w:pPr>
      <w:r>
        <w:rPr>
          <w:rFonts w:ascii="Arial" w:cs="Arial" w:eastAsia="Arial" w:hAnsi="Arial"/>
          <w:sz w:val="20"/>
          <w:szCs w:val="20"/>
          <w:color w:val="auto"/>
        </w:rPr>
        <w:t>If you were a stockholder of record on March 22, 2024, you are entitled to vote all of the shares that you held on that date at the annual meeting and at any postponement or adjournment thereof.</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Voting Rights</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Each outstanding share of our common stock will be entitled to one vote on each matter considered at the annual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Voting</w:t>
      </w:r>
    </w:p>
    <w:p>
      <w:pPr>
        <w:spacing w:after="0" w:line="96" w:lineRule="exact"/>
        <w:rPr>
          <w:sz w:val="20"/>
          <w:szCs w:val="20"/>
          <w:color w:val="auto"/>
        </w:rPr>
      </w:pPr>
    </w:p>
    <w:p>
      <w:pPr>
        <w:jc w:val="both"/>
        <w:ind w:left="120" w:right="180" w:firstLine="771"/>
        <w:spacing w:after="0" w:line="241" w:lineRule="auto"/>
        <w:rPr>
          <w:sz w:val="20"/>
          <w:szCs w:val="20"/>
          <w:color w:val="auto"/>
        </w:rPr>
      </w:pPr>
      <w:r>
        <w:rPr>
          <w:rFonts w:ascii="Arial" w:cs="Arial" w:eastAsia="Arial" w:hAnsi="Arial"/>
          <w:sz w:val="20"/>
          <w:szCs w:val="20"/>
          <w:color w:val="auto"/>
        </w:rPr>
        <w:t xml:space="preserve">Alnylam’s stockholders may vote their shares over the Internet, by telephone or during the annual meeting by going to </w:t>
      </w:r>
      <w:r>
        <w:rPr>
          <w:rFonts w:ascii="Arial" w:cs="Arial" w:eastAsia="Arial" w:hAnsi="Arial"/>
          <w:sz w:val="20"/>
          <w:szCs w:val="20"/>
          <w:i w:val="1"/>
          <w:iCs w:val="1"/>
          <w:u w:val="single" w:color="auto"/>
          <w:color w:val="2275B5"/>
        </w:rPr>
        <w:t>www.virtualshareholdermeeting.com/ALNY2024</w:t>
      </w:r>
      <w:r>
        <w:rPr>
          <w:rFonts w:ascii="Arial" w:cs="Arial" w:eastAsia="Arial" w:hAnsi="Arial"/>
          <w:sz w:val="20"/>
          <w:szCs w:val="20"/>
          <w:color w:val="auto"/>
        </w:rPr>
        <w:t>. If you requested and/or received a printed version of the proxy card, you may also vote by mail.</w:t>
      </w:r>
    </w:p>
    <w:p>
      <w:pPr>
        <w:spacing w:after="0" w:line="196" w:lineRule="exact"/>
        <w:rPr>
          <w:sz w:val="20"/>
          <w:szCs w:val="20"/>
          <w:color w:val="auto"/>
        </w:rPr>
      </w:pPr>
    </w:p>
    <w:p>
      <w:pPr>
        <w:ind w:left="1320" w:hanging="435"/>
        <w:spacing w:after="0"/>
        <w:tabs>
          <w:tab w:leader="none" w:pos="132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By Internet. </w:t>
      </w:r>
      <w:r>
        <w:rPr>
          <w:rFonts w:ascii="Arial" w:cs="Arial" w:eastAsia="Arial" w:hAnsi="Arial"/>
          <w:sz w:val="20"/>
          <w:szCs w:val="20"/>
          <w:color w:val="auto"/>
        </w:rPr>
        <w:t>You may vote at</w:t>
      </w:r>
      <w:r>
        <w:rPr>
          <w:rFonts w:ascii="Arial" w:cs="Arial" w:eastAsia="Arial" w:hAnsi="Arial"/>
          <w:sz w:val="20"/>
          <w:szCs w:val="20"/>
          <w:b w:val="1"/>
          <w:bCs w:val="1"/>
          <w:color w:val="auto"/>
        </w:rPr>
        <w:t xml:space="preserve"> </w:t>
      </w:r>
      <w:r>
        <w:rPr>
          <w:rFonts w:ascii="Arial" w:cs="Arial" w:eastAsia="Arial" w:hAnsi="Arial"/>
          <w:sz w:val="20"/>
          <w:szCs w:val="20"/>
          <w:i w:val="1"/>
          <w:iCs w:val="1"/>
          <w:u w:val="single" w:color="auto"/>
          <w:color w:val="2275B5"/>
        </w:rPr>
        <w:t>www.proxyvote.com</w:t>
      </w:r>
      <w:r>
        <w:rPr>
          <w:rFonts w:ascii="Arial" w:cs="Arial" w:eastAsia="Arial" w:hAnsi="Arial"/>
          <w:sz w:val="20"/>
          <w:szCs w:val="20"/>
          <w:color w:val="auto"/>
        </w:rPr>
        <w:t>, 24 hours a day, seven days a week. You will need the</w:t>
      </w:r>
    </w:p>
    <w:p>
      <w:pPr>
        <w:spacing w:after="0" w:line="6" w:lineRule="exact"/>
        <w:rPr>
          <w:rFonts w:ascii="Arial" w:cs="Arial" w:eastAsia="Arial" w:hAnsi="Arial"/>
          <w:sz w:val="20"/>
          <w:szCs w:val="20"/>
          <w:color w:val="auto"/>
        </w:rPr>
      </w:pPr>
    </w:p>
    <w:p>
      <w:pPr>
        <w:ind w:left="1320" w:right="520"/>
        <w:spacing w:after="0" w:line="225" w:lineRule="auto"/>
        <w:rPr>
          <w:rFonts w:ascii="Arial" w:cs="Arial" w:eastAsia="Arial" w:hAnsi="Arial"/>
          <w:sz w:val="20"/>
          <w:szCs w:val="20"/>
          <w:color w:val="auto"/>
        </w:rPr>
      </w:pPr>
      <w:r>
        <w:rPr>
          <w:rFonts w:ascii="Arial" w:cs="Arial" w:eastAsia="Arial" w:hAnsi="Arial"/>
          <w:sz w:val="20"/>
          <w:szCs w:val="20"/>
          <w:color w:val="auto"/>
        </w:rPr>
        <w:t>16-digit control number included on your proxy card or voting instruction form. Votes submitted through the Internet must be received by 11:59 p.m. ET on May 15, 2024.</w:t>
      </w:r>
    </w:p>
    <w:p>
      <w:pPr>
        <w:jc w:val="both"/>
        <w:ind w:left="1320" w:right="240" w:hanging="435"/>
        <w:spacing w:after="0" w:line="225" w:lineRule="auto"/>
        <w:tabs>
          <w:tab w:leader="none" w:pos="132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By Telephone. </w:t>
      </w:r>
      <w:r>
        <w:rPr>
          <w:rFonts w:ascii="Arial" w:cs="Arial" w:eastAsia="Arial" w:hAnsi="Arial"/>
          <w:sz w:val="20"/>
          <w:szCs w:val="20"/>
          <w:color w:val="auto"/>
        </w:rPr>
        <w:t>You may vote using a touch-tone telephone by calling 1-800-690-6903, 24 hours a day, seven</w:t>
      </w:r>
      <w:r>
        <w:rPr>
          <w:rFonts w:ascii="Arial" w:cs="Arial" w:eastAsia="Arial" w:hAnsi="Arial"/>
          <w:sz w:val="20"/>
          <w:szCs w:val="20"/>
          <w:b w:val="1"/>
          <w:bCs w:val="1"/>
          <w:color w:val="auto"/>
        </w:rPr>
        <w:t xml:space="preserve"> </w:t>
      </w:r>
      <w:r>
        <w:rPr>
          <w:rFonts w:ascii="Arial" w:cs="Arial" w:eastAsia="Arial" w:hAnsi="Arial"/>
          <w:sz w:val="20"/>
          <w:szCs w:val="20"/>
          <w:color w:val="auto"/>
        </w:rPr>
        <w:t>days a week. You will need the 16-digit control number included on your proxy card or voting instruction form. Votes submitted by telephone must be received by 11:59 p.m. ET on May 15, 2024.</w:t>
      </w:r>
    </w:p>
    <w:p>
      <w:pPr>
        <w:spacing w:after="0" w:line="1" w:lineRule="exact"/>
        <w:rPr>
          <w:rFonts w:ascii="Arial" w:cs="Arial" w:eastAsia="Arial" w:hAnsi="Arial"/>
          <w:sz w:val="20"/>
          <w:szCs w:val="20"/>
          <w:color w:val="auto"/>
        </w:rPr>
      </w:pPr>
    </w:p>
    <w:p>
      <w:pPr>
        <w:ind w:left="1320" w:right="160" w:hanging="435"/>
        <w:spacing w:after="0" w:line="225" w:lineRule="auto"/>
        <w:tabs>
          <w:tab w:leader="none" w:pos="132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By Mail. </w:t>
      </w:r>
      <w:r>
        <w:rPr>
          <w:rFonts w:ascii="Arial" w:cs="Arial" w:eastAsia="Arial" w:hAnsi="Arial"/>
          <w:sz w:val="20"/>
          <w:szCs w:val="20"/>
          <w:color w:val="auto"/>
        </w:rPr>
        <w:t>If you received printed proxy materials, you may submit your vote by completing, signing and dating</w:t>
      </w:r>
      <w:r>
        <w:rPr>
          <w:rFonts w:ascii="Arial" w:cs="Arial" w:eastAsia="Arial" w:hAnsi="Arial"/>
          <w:sz w:val="20"/>
          <w:szCs w:val="20"/>
          <w:b w:val="1"/>
          <w:bCs w:val="1"/>
          <w:color w:val="auto"/>
        </w:rPr>
        <w:t xml:space="preserve"> </w:t>
      </w:r>
      <w:r>
        <w:rPr>
          <w:rFonts w:ascii="Arial" w:cs="Arial" w:eastAsia="Arial" w:hAnsi="Arial"/>
          <w:sz w:val="20"/>
          <w:szCs w:val="20"/>
          <w:color w:val="auto"/>
        </w:rPr>
        <w:t>each proxy card received and returning it in the prepaid envelope. Sign your name exactly as it appears on the proxy card. Proxy cards submitted by mail must be received no later than May 15, 2024 to be voted at the annual meeting.</w:t>
      </w:r>
    </w:p>
    <w:p>
      <w:pPr>
        <w:spacing w:after="0" w:line="1" w:lineRule="exact"/>
        <w:rPr>
          <w:rFonts w:ascii="Arial" w:cs="Arial" w:eastAsia="Arial" w:hAnsi="Arial"/>
          <w:sz w:val="20"/>
          <w:szCs w:val="20"/>
          <w:color w:val="auto"/>
        </w:rPr>
      </w:pPr>
    </w:p>
    <w:p>
      <w:pPr>
        <w:ind w:left="1320" w:right="280" w:hanging="435"/>
        <w:spacing w:after="0" w:line="232" w:lineRule="auto"/>
        <w:tabs>
          <w:tab w:leader="none" w:pos="132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During the Annual Meeting. </w:t>
      </w:r>
      <w:r>
        <w:rPr>
          <w:rFonts w:ascii="Arial" w:cs="Arial" w:eastAsia="Arial" w:hAnsi="Arial"/>
          <w:sz w:val="20"/>
          <w:szCs w:val="20"/>
          <w:color w:val="auto"/>
        </w:rPr>
        <w:t>You may vote during the annual meeting by going to</w:t>
      </w:r>
      <w:r>
        <w:rPr>
          <w:rFonts w:ascii="Arial" w:cs="Arial" w:eastAsia="Arial" w:hAnsi="Arial"/>
          <w:sz w:val="20"/>
          <w:szCs w:val="20"/>
          <w:b w:val="1"/>
          <w:bCs w:val="1"/>
          <w:color w:val="auto"/>
        </w:rPr>
        <w:t xml:space="preserve"> </w:t>
      </w:r>
      <w:r>
        <w:rPr>
          <w:rFonts w:ascii="Arial" w:cs="Arial" w:eastAsia="Arial" w:hAnsi="Arial"/>
          <w:sz w:val="20"/>
          <w:szCs w:val="20"/>
          <w:i w:val="1"/>
          <w:iCs w:val="1"/>
          <w:u w:val="single" w:color="auto"/>
          <w:color w:val="2275B5"/>
        </w:rPr>
        <w:t>www.virtualshareholdermeeting.com/ALNY2024</w:t>
      </w:r>
      <w:r>
        <w:rPr>
          <w:rFonts w:ascii="Arial" w:cs="Arial" w:eastAsia="Arial" w:hAnsi="Arial"/>
          <w:sz w:val="20"/>
          <w:szCs w:val="20"/>
          <w:color w:val="000000"/>
        </w:rPr>
        <w:t>. You will need the 16-digit control number included on your</w:t>
      </w:r>
      <w:r>
        <w:rPr>
          <w:rFonts w:ascii="Arial" w:cs="Arial" w:eastAsia="Arial" w:hAnsi="Arial"/>
          <w:sz w:val="20"/>
          <w:szCs w:val="20"/>
          <w:i w:val="1"/>
          <w:iCs w:val="1"/>
          <w:color w:val="2275B5"/>
        </w:rPr>
        <w:t xml:space="preserve"> </w:t>
      </w:r>
      <w:r>
        <w:rPr>
          <w:rFonts w:ascii="Arial" w:cs="Arial" w:eastAsia="Arial" w:hAnsi="Arial"/>
          <w:sz w:val="20"/>
          <w:szCs w:val="20"/>
          <w:color w:val="000000"/>
        </w:rPr>
        <w:t>proxy card or voting instruction form. If you previously voted via the Internet (or by telephone or mail), this will not limit your right to vote online at the annual meeting.</w:t>
      </w:r>
    </w:p>
    <w:p>
      <w:pPr>
        <w:spacing w:after="0" w:line="173" w:lineRule="exact"/>
        <w:rPr>
          <w:sz w:val="20"/>
          <w:szCs w:val="20"/>
          <w:color w:val="auto"/>
        </w:rPr>
      </w:pPr>
    </w:p>
    <w:p>
      <w:pPr>
        <w:ind w:left="120" w:right="20" w:firstLine="771"/>
        <w:spacing w:after="0" w:line="284" w:lineRule="auto"/>
        <w:rPr>
          <w:sz w:val="20"/>
          <w:szCs w:val="20"/>
          <w:color w:val="auto"/>
        </w:rPr>
      </w:pPr>
      <w:r>
        <w:rPr>
          <w:rFonts w:ascii="Arial" w:cs="Arial" w:eastAsia="Arial" w:hAnsi="Arial"/>
          <w:sz w:val="19"/>
          <w:szCs w:val="19"/>
          <w:color w:val="auto"/>
        </w:rPr>
        <w:t>If you vote via the Internet or by telephone, your electronic vote authorizes the named proxies in the same manner as if you signed, dated and returned your proxy card. If you vote via the Internet or by telephone, do not return your proxy card.</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Revoking a Proxy</w:t>
      </w:r>
    </w:p>
    <w:p>
      <w:pPr>
        <w:spacing w:after="0" w:line="204" w:lineRule="exact"/>
        <w:rPr>
          <w:sz w:val="20"/>
          <w:szCs w:val="20"/>
          <w:color w:val="auto"/>
        </w:rPr>
      </w:pPr>
    </w:p>
    <w:p>
      <w:pPr>
        <w:ind w:left="120" w:right="440" w:firstLine="771"/>
        <w:spacing w:after="0" w:line="257" w:lineRule="auto"/>
        <w:rPr>
          <w:sz w:val="20"/>
          <w:szCs w:val="20"/>
          <w:color w:val="auto"/>
        </w:rPr>
      </w:pPr>
      <w:r>
        <w:rPr>
          <w:rFonts w:ascii="Arial" w:cs="Arial" w:eastAsia="Arial" w:hAnsi="Arial"/>
          <w:sz w:val="20"/>
          <w:szCs w:val="20"/>
          <w:color w:val="auto"/>
        </w:rPr>
        <w:t>If your shares are registered directly in your name, you may revoke your proxy and change your vote at any time before the annual meeting. To do so, you must do one of the following:</w:t>
      </w:r>
    </w:p>
    <w:p>
      <w:pPr>
        <w:spacing w:after="0" w:line="182" w:lineRule="exact"/>
        <w:rPr>
          <w:sz w:val="20"/>
          <w:szCs w:val="20"/>
          <w:color w:val="auto"/>
        </w:rPr>
      </w:pPr>
    </w:p>
    <w:p>
      <w:pPr>
        <w:ind w:left="1320" w:right="120" w:hanging="435"/>
        <w:spacing w:after="0" w:line="247" w:lineRule="auto"/>
        <w:tabs>
          <w:tab w:leader="none" w:pos="13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Vote over the Internet or by telephone as instructed above. Only your latest Internet or telephone vote is counted. You may not change your vote over the Internet or by telephone after 11:59 p.m. ET on May 15, 2024.</w:t>
      </w:r>
    </w:p>
    <w:p>
      <w:pPr>
        <w:ind w:left="1320" w:right="520" w:hanging="435"/>
        <w:spacing w:after="0" w:line="225" w:lineRule="auto"/>
        <w:tabs>
          <w:tab w:leader="none" w:pos="13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Sign a new proxy and submit it as instructed above. Only your latest dated proxy, received by no later than May 15, 2024, will be counted.</w:t>
      </w:r>
    </w:p>
    <w:p>
      <w:pPr>
        <w:ind w:left="1320" w:right="20" w:hanging="435"/>
        <w:spacing w:after="0" w:line="239" w:lineRule="auto"/>
        <w:tabs>
          <w:tab w:leader="none" w:pos="13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Participate in the annual meeting virtually via the Internet and vote again. Participating in the annual meeting will not revoke your Internet vote, telephone vote or proxy, unless you vote again.</w:t>
      </w:r>
    </w:p>
    <w:p>
      <w:pPr>
        <w:spacing w:after="0" w:line="172" w:lineRule="exact"/>
        <w:rPr>
          <w:sz w:val="20"/>
          <w:szCs w:val="20"/>
          <w:color w:val="auto"/>
        </w:rPr>
      </w:pPr>
    </w:p>
    <w:p>
      <w:pPr>
        <w:ind w:left="120" w:right="240" w:firstLine="771"/>
        <w:spacing w:after="0" w:line="257" w:lineRule="auto"/>
        <w:rPr>
          <w:sz w:val="20"/>
          <w:szCs w:val="20"/>
          <w:color w:val="auto"/>
        </w:rPr>
      </w:pPr>
      <w:r>
        <w:rPr>
          <w:rFonts w:ascii="Arial" w:cs="Arial" w:eastAsia="Arial" w:hAnsi="Arial"/>
          <w:sz w:val="20"/>
          <w:szCs w:val="20"/>
          <w:color w:val="auto"/>
        </w:rPr>
        <w:t>Note that if your shares are held in “street name,” you may submit new voting instructions by contacting your bank, broker or other nominee.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Discretionary Voting Authority</w:t>
      </w:r>
    </w:p>
    <w:p>
      <w:pPr>
        <w:spacing w:after="0" w:line="204" w:lineRule="exact"/>
        <w:rPr>
          <w:sz w:val="20"/>
          <w:szCs w:val="20"/>
          <w:color w:val="auto"/>
        </w:rPr>
      </w:pPr>
    </w:p>
    <w:p>
      <w:pPr>
        <w:ind w:left="120" w:right="280" w:firstLine="771"/>
        <w:spacing w:after="0" w:line="257" w:lineRule="auto"/>
        <w:rPr>
          <w:sz w:val="20"/>
          <w:szCs w:val="20"/>
          <w:color w:val="auto"/>
        </w:rPr>
      </w:pPr>
      <w:r>
        <w:rPr>
          <w:rFonts w:ascii="Arial" w:cs="Arial" w:eastAsia="Arial" w:hAnsi="Arial"/>
          <w:sz w:val="20"/>
          <w:szCs w:val="20"/>
          <w:color w:val="auto"/>
        </w:rPr>
        <w:t>If your shares are registered directly in your name, you are a “stockholder of record” who may vote at the meeting. As the stockholder of record, you have the right to direct the voting of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480"/>
        <w:spacing w:after="0" w:line="257" w:lineRule="auto"/>
        <w:rPr>
          <w:sz w:val="20"/>
          <w:szCs w:val="20"/>
          <w:color w:val="auto"/>
        </w:rPr>
      </w:pPr>
      <w:r>
        <w:rPr>
          <w:rFonts w:ascii="Arial" w:cs="Arial" w:eastAsia="Arial" w:hAnsi="Arial"/>
          <w:sz w:val="20"/>
          <w:szCs w:val="20"/>
          <w:color w:val="auto"/>
        </w:rPr>
        <w:t xml:space="preserve">shares by voting over the Internet, by telephone, by returning your proxy or by voting online during the annual meeting at </w:t>
      </w:r>
      <w:r>
        <w:rPr>
          <w:rFonts w:ascii="Arial" w:cs="Arial" w:eastAsia="Arial" w:hAnsi="Arial"/>
          <w:sz w:val="20"/>
          <w:szCs w:val="20"/>
          <w:i w:val="1"/>
          <w:iCs w:val="1"/>
          <w:u w:val="single" w:color="auto"/>
          <w:color w:val="2275B5"/>
        </w:rPr>
        <w:t>www.virtualshareholdermeeting.com/ALNY2024</w:t>
      </w:r>
      <w:r>
        <w:rPr>
          <w:rFonts w:ascii="Arial" w:cs="Arial" w:eastAsia="Arial" w:hAnsi="Arial"/>
          <w:sz w:val="20"/>
          <w:szCs w:val="20"/>
          <w:color w:val="000000"/>
        </w:rPr>
        <w:t>.</w:t>
      </w:r>
    </w:p>
    <w:p>
      <w:pPr>
        <w:spacing w:after="0" w:line="155" w:lineRule="exact"/>
        <w:rPr>
          <w:sz w:val="20"/>
          <w:szCs w:val="20"/>
          <w:color w:val="auto"/>
        </w:rPr>
      </w:pPr>
    </w:p>
    <w:p>
      <w:pPr>
        <w:ind w:left="120" w:right="20" w:firstLine="771"/>
        <w:spacing w:after="0" w:line="230" w:lineRule="auto"/>
        <w:rPr>
          <w:sz w:val="20"/>
          <w:szCs w:val="20"/>
          <w:color w:val="auto"/>
        </w:rPr>
      </w:pPr>
      <w:r>
        <w:rPr>
          <w:rFonts w:ascii="Arial" w:cs="Arial" w:eastAsia="Arial" w:hAnsi="Arial"/>
          <w:sz w:val="20"/>
          <w:szCs w:val="20"/>
          <w:color w:val="auto"/>
        </w:rPr>
        <w:t xml:space="preserve">If your shares are held in an account at a bank or at a brokerage firm or other nominee, you are considered the beneficial owner of shares held in “street name,” and these proxy materials are being forwarded to you by your bank, broker or other nominee who is considered the stockholder of record for purposes of voting at the annual meeting. As the beneficial owner, you have the right to direct your bank, broker or other nominee on how to vote your shares and to participate in the virtual annual meeting. You will receive instructions from your bank, broker or other nominee explaining how you can vote your shares and whether they permit Internet or telephone voting. Follow the instructions from your bank, broker or other nominee included with these proxy materials, or contact your bank, broker or other nominee to request a proxy form. We encourage you to provide voting instructions to your bank, broker or other nominee by giving your proxy to them. This ensures that your shares will be voted at the annual meeting according to your instructions. </w:t>
      </w:r>
      <w:r>
        <w:rPr>
          <w:rFonts w:ascii="Arial" w:cs="Arial" w:eastAsia="Arial" w:hAnsi="Arial"/>
          <w:sz w:val="20"/>
          <w:szCs w:val="20"/>
          <w:b w:val="1"/>
          <w:bCs w:val="1"/>
          <w:color w:val="auto"/>
        </w:rPr>
        <w:t>You will not be able to vote shares you</w:t>
      </w:r>
      <w:r>
        <w:rPr>
          <w:rFonts w:ascii="Arial" w:cs="Arial" w:eastAsia="Arial" w:hAnsi="Arial"/>
          <w:sz w:val="20"/>
          <w:szCs w:val="20"/>
          <w:color w:val="auto"/>
        </w:rPr>
        <w:t xml:space="preserve"> </w:t>
      </w:r>
      <w:r>
        <w:rPr>
          <w:rFonts w:ascii="Arial" w:cs="Arial" w:eastAsia="Arial" w:hAnsi="Arial"/>
          <w:sz w:val="20"/>
          <w:szCs w:val="20"/>
          <w:b w:val="1"/>
          <w:bCs w:val="1"/>
          <w:color w:val="auto"/>
        </w:rPr>
        <w:t>hold in “street name” at the annual meeting; instead, you must instruct your bank, broker or other nominee in advance of the meeting.</w:t>
      </w:r>
    </w:p>
    <w:p>
      <w:pPr>
        <w:spacing w:after="0" w:line="168" w:lineRule="exact"/>
        <w:rPr>
          <w:sz w:val="20"/>
          <w:szCs w:val="20"/>
          <w:color w:val="auto"/>
        </w:rPr>
      </w:pPr>
    </w:p>
    <w:p>
      <w:pPr>
        <w:ind w:left="120" w:right="60" w:firstLine="771"/>
        <w:spacing w:after="0" w:line="232" w:lineRule="auto"/>
        <w:rPr>
          <w:sz w:val="20"/>
          <w:szCs w:val="20"/>
          <w:color w:val="auto"/>
        </w:rPr>
      </w:pPr>
      <w:r>
        <w:rPr>
          <w:rFonts w:ascii="Arial" w:cs="Arial" w:eastAsia="Arial" w:hAnsi="Arial"/>
          <w:sz w:val="20"/>
          <w:szCs w:val="20"/>
          <w:color w:val="auto"/>
        </w:rPr>
        <w:t>Note that under New York Stock Exchange, or NYSE, rules, if you hold shares through a bank, broker or other institution and you do not provide your voting instructions to them at least ten days before the annual meeting, that firm has the discretion to vote your shares on proposals that the NYSE has determined are routine. Such firm will not have the discretion to vote your shares on proposals that the NYSE has determined are non-routine. A “broker non-vote” refers to a share represented at the meeting held by a broker, as to which instructions have not been received from the beneficial owner or person entitled to vote such shares and with respect to which, on one or more but not all matters, the broker does not have discretionary voting power to vote such share.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Participating in the Virtual Annual Meeting</w:t>
      </w:r>
    </w:p>
    <w:p>
      <w:pPr>
        <w:spacing w:after="0" w:line="204" w:lineRule="exact"/>
        <w:rPr>
          <w:sz w:val="20"/>
          <w:szCs w:val="20"/>
          <w:color w:val="auto"/>
        </w:rPr>
      </w:pPr>
    </w:p>
    <w:p>
      <w:pPr>
        <w:ind w:left="120" w:right="360" w:firstLine="771"/>
        <w:spacing w:after="0" w:line="257" w:lineRule="auto"/>
        <w:rPr>
          <w:sz w:val="20"/>
          <w:szCs w:val="20"/>
          <w:color w:val="auto"/>
        </w:rPr>
      </w:pPr>
      <w:r>
        <w:rPr>
          <w:rFonts w:ascii="Arial" w:cs="Arial" w:eastAsia="Arial" w:hAnsi="Arial"/>
          <w:sz w:val="20"/>
          <w:szCs w:val="20"/>
          <w:color w:val="auto"/>
        </w:rPr>
        <w:t>This year our annual meeting will be a completely virtual meeting. There will be no physical meeting location. The meeting will only be conducted via live webcast.</w:t>
      </w:r>
    </w:p>
    <w:p>
      <w:pPr>
        <w:spacing w:after="0" w:line="155" w:lineRule="exact"/>
        <w:rPr>
          <w:sz w:val="20"/>
          <w:szCs w:val="20"/>
          <w:color w:val="auto"/>
        </w:rPr>
      </w:pPr>
    </w:p>
    <w:p>
      <w:pPr>
        <w:ind w:left="120" w:right="160" w:firstLine="771"/>
        <w:spacing w:after="0" w:line="237" w:lineRule="auto"/>
        <w:rPr>
          <w:sz w:val="20"/>
          <w:szCs w:val="20"/>
          <w:color w:val="auto"/>
        </w:rPr>
      </w:pPr>
      <w:r>
        <w:rPr>
          <w:rFonts w:ascii="Arial" w:cs="Arial" w:eastAsia="Arial" w:hAnsi="Arial"/>
          <w:sz w:val="20"/>
          <w:szCs w:val="20"/>
          <w:color w:val="auto"/>
        </w:rPr>
        <w:t xml:space="preserve">To participate in the virtual meeting, visit </w:t>
      </w:r>
      <w:r>
        <w:rPr>
          <w:rFonts w:ascii="Arial" w:cs="Arial" w:eastAsia="Arial" w:hAnsi="Arial"/>
          <w:sz w:val="20"/>
          <w:szCs w:val="20"/>
          <w:i w:val="1"/>
          <w:iCs w:val="1"/>
          <w:u w:val="single" w:color="auto"/>
          <w:color w:val="2275B5"/>
        </w:rPr>
        <w:t>www.virtualshareholdermeeting.com/ALNY2024</w:t>
      </w:r>
      <w:r>
        <w:rPr>
          <w:rFonts w:ascii="Arial" w:cs="Arial" w:eastAsia="Arial" w:hAnsi="Arial"/>
          <w:sz w:val="20"/>
          <w:szCs w:val="20"/>
          <w:color w:val="auto"/>
        </w:rPr>
        <w:t xml:space="preserve"> and enter the 16-digit control number included on your proxy card or on the instructions that accompanied your proxy materials. You may begin to log into the meeting platform beginning at 10:15 a.m. ET on May 16, 2024. The meeting will begin promptly at 10:30 a.m. ET on May 16, 2024.</w:t>
      </w:r>
    </w:p>
    <w:p>
      <w:pPr>
        <w:spacing w:after="0" w:line="172" w:lineRule="exact"/>
        <w:rPr>
          <w:sz w:val="20"/>
          <w:szCs w:val="20"/>
          <w:color w:val="auto"/>
        </w:rPr>
      </w:pPr>
    </w:p>
    <w:p>
      <w:pPr>
        <w:ind w:left="120" w:right="200" w:firstLine="771"/>
        <w:spacing w:after="0" w:line="234" w:lineRule="auto"/>
        <w:rPr>
          <w:sz w:val="20"/>
          <w:szCs w:val="20"/>
          <w:color w:val="auto"/>
        </w:rPr>
      </w:pPr>
      <w:r>
        <w:rPr>
          <w:rFonts w:ascii="Arial" w:cs="Arial" w:eastAsia="Arial" w:hAnsi="Arial"/>
          <w:sz w:val="20"/>
          <w:szCs w:val="20"/>
          <w:color w:val="auto"/>
        </w:rPr>
        <w:t xml:space="preserve">If you wish to submit a question, you may do so in two ways. If you want to ask a question before the meeting, then beginning on April 3, 2024 and until 11:59 p.m. ET on May 15, 2024, you may log into </w:t>
      </w:r>
      <w:r>
        <w:rPr>
          <w:rFonts w:ascii="Arial" w:cs="Arial" w:eastAsia="Arial" w:hAnsi="Arial"/>
          <w:sz w:val="20"/>
          <w:szCs w:val="20"/>
          <w:i w:val="1"/>
          <w:iCs w:val="1"/>
          <w:u w:val="single" w:color="auto"/>
          <w:color w:val="2275B5"/>
        </w:rPr>
        <w:t>www.proxyvote.com</w:t>
      </w:r>
      <w:r>
        <w:rPr>
          <w:rFonts w:ascii="Arial" w:cs="Arial" w:eastAsia="Arial" w:hAnsi="Arial"/>
          <w:sz w:val="20"/>
          <w:szCs w:val="20"/>
          <w:color w:val="auto"/>
        </w:rPr>
        <w:t xml:space="preserve"> and enter your 16-digit control number. Once past the login screen, click on “Questions for Management,” type in your question, and click “Submit.” Alternatively, if you want to submit your question during the meeting, log into the virtual meeting platform at </w:t>
      </w:r>
      <w:r>
        <w:rPr>
          <w:rFonts w:ascii="Arial" w:cs="Arial" w:eastAsia="Arial" w:hAnsi="Arial"/>
          <w:sz w:val="20"/>
          <w:szCs w:val="20"/>
          <w:i w:val="1"/>
          <w:iCs w:val="1"/>
          <w:u w:val="single" w:color="auto"/>
          <w:color w:val="2275B5"/>
        </w:rPr>
        <w:t>www.virtualshareholdermeeting.com/ALNY2024</w:t>
      </w:r>
      <w:r>
        <w:rPr>
          <w:rFonts w:ascii="Arial" w:cs="Arial" w:eastAsia="Arial" w:hAnsi="Arial"/>
          <w:sz w:val="20"/>
          <w:szCs w:val="20"/>
          <w:color w:val="000000"/>
        </w:rPr>
        <w:t>, type your question into the “Ask a Question” field, and click “Submit.”</w:t>
      </w:r>
    </w:p>
    <w:p>
      <w:pPr>
        <w:spacing w:after="0" w:line="175" w:lineRule="exact"/>
        <w:rPr>
          <w:sz w:val="20"/>
          <w:szCs w:val="20"/>
          <w:color w:val="auto"/>
        </w:rPr>
      </w:pPr>
    </w:p>
    <w:p>
      <w:pPr>
        <w:ind w:left="120" w:right="20" w:firstLine="771"/>
        <w:spacing w:after="0" w:line="237" w:lineRule="auto"/>
        <w:rPr>
          <w:sz w:val="20"/>
          <w:szCs w:val="20"/>
          <w:color w:val="auto"/>
        </w:rPr>
      </w:pPr>
      <w:r>
        <w:rPr>
          <w:rFonts w:ascii="Arial" w:cs="Arial" w:eastAsia="Arial" w:hAnsi="Arial"/>
          <w:sz w:val="20"/>
          <w:szCs w:val="20"/>
          <w:color w:val="auto"/>
        </w:rPr>
        <w:t>Questions pertinent to meeting matters will be answered during the meeting, subject to time constraints. The meeting is not to be used as a forum to present personal matters, or general economic, political or other views that are not directly related to the business of Alnylam and the matters properly before the meeting, and therefore questions on such matters will not be answered.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200" w:firstLine="771"/>
        <w:spacing w:after="0" w:line="241" w:lineRule="auto"/>
        <w:rPr>
          <w:sz w:val="20"/>
          <w:szCs w:val="20"/>
          <w:color w:val="auto"/>
        </w:rPr>
      </w:pPr>
      <w:r>
        <w:rPr>
          <w:rFonts w:ascii="Arial" w:cs="Arial" w:eastAsia="Arial" w:hAnsi="Arial"/>
          <w:sz w:val="20"/>
          <w:szCs w:val="20"/>
          <w:color w:val="auto"/>
        </w:rPr>
        <w:t xml:space="preserve">Any questions pertinent to meeting matters that cannot be answered during the meeting due to time constraints will be posted online and answered at </w:t>
      </w:r>
      <w:r>
        <w:rPr>
          <w:rFonts w:ascii="Arial" w:cs="Arial" w:eastAsia="Arial" w:hAnsi="Arial"/>
          <w:sz w:val="20"/>
          <w:szCs w:val="20"/>
          <w:i w:val="1"/>
          <w:iCs w:val="1"/>
          <w:u w:val="single" w:color="auto"/>
          <w:color w:val="2275B5"/>
        </w:rPr>
        <w:t>http://investors.alnylam.com/shareholder-services/annual-meeting</w:t>
      </w:r>
      <w:r>
        <w:rPr>
          <w:rFonts w:ascii="Arial" w:cs="Arial" w:eastAsia="Arial" w:hAnsi="Arial"/>
          <w:sz w:val="20"/>
          <w:szCs w:val="20"/>
          <w:color w:val="auto"/>
        </w:rPr>
        <w:t>. The questions and answers will be available as soon as practical after the meeting and will remain available until one week after posting.</w:t>
      </w:r>
    </w:p>
    <w:p>
      <w:pPr>
        <w:spacing w:after="0" w:line="171" w:lineRule="exact"/>
        <w:rPr>
          <w:sz w:val="20"/>
          <w:szCs w:val="20"/>
          <w:color w:val="auto"/>
        </w:rPr>
      </w:pPr>
    </w:p>
    <w:p>
      <w:pPr>
        <w:ind w:left="120" w:right="420" w:firstLine="771"/>
        <w:spacing w:after="0" w:line="260" w:lineRule="auto"/>
        <w:rPr>
          <w:sz w:val="20"/>
          <w:szCs w:val="20"/>
          <w:color w:val="auto"/>
        </w:rPr>
      </w:pPr>
      <w:r>
        <w:rPr>
          <w:rFonts w:ascii="Arial" w:cs="Arial" w:eastAsia="Arial" w:hAnsi="Arial"/>
          <w:sz w:val="19"/>
          <w:szCs w:val="19"/>
          <w:color w:val="auto"/>
        </w:rPr>
        <w:t>If you encounter any technical difficulties with the virtual meeting platform on the meeting day, please call the technical support number that will be posted on the virtual Annual Meeting log-in page. Technical support will be available starting at 10:00 a.m. ET on May 16, 2024 and will remain available until thirty minutes after the meeting has finished.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Requirements for a Meeting Quorum</w:t>
      </w:r>
    </w:p>
    <w:p>
      <w:pPr>
        <w:spacing w:after="0" w:line="204" w:lineRule="exact"/>
        <w:rPr>
          <w:sz w:val="20"/>
          <w:szCs w:val="20"/>
          <w:color w:val="auto"/>
        </w:rPr>
      </w:pPr>
    </w:p>
    <w:p>
      <w:pPr>
        <w:ind w:left="120" w:right="20" w:firstLine="771"/>
        <w:spacing w:after="0" w:line="234" w:lineRule="auto"/>
        <w:rPr>
          <w:sz w:val="20"/>
          <w:szCs w:val="20"/>
          <w:color w:val="auto"/>
        </w:rPr>
      </w:pPr>
      <w:r>
        <w:rPr>
          <w:rFonts w:ascii="Arial" w:cs="Arial" w:eastAsia="Arial" w:hAnsi="Arial"/>
          <w:sz w:val="20"/>
          <w:szCs w:val="20"/>
          <w:color w:val="auto"/>
        </w:rPr>
        <w:t>A majority of our outstanding shares of common stock must be present to hold the annual meeting and conduct business. This is called a quorum. For purposes of determining whether a quorum exists, we count as present any shares that are voted over the Internet, by telephone, by completing and submitting a proxy, or that are represented online at the meeting, as well as any abstentions and broker non-votes. If a quorum is not present, we expect to adjourn the annual meeting until we obtain a quorum.</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Vote Required to Approve Each Item on the Proxy</w:t>
      </w:r>
    </w:p>
    <w:p>
      <w:pPr>
        <w:spacing w:after="0" w:line="204" w:lineRule="exact"/>
        <w:rPr>
          <w:sz w:val="20"/>
          <w:szCs w:val="20"/>
          <w:color w:val="auto"/>
        </w:rPr>
      </w:pPr>
    </w:p>
    <w:p>
      <w:pPr>
        <w:ind w:left="120" w:right="180" w:firstLine="771"/>
        <w:spacing w:after="0" w:line="234" w:lineRule="auto"/>
        <w:rPr>
          <w:sz w:val="20"/>
          <w:szCs w:val="20"/>
          <w:color w:val="auto"/>
        </w:rPr>
      </w:pPr>
      <w:r>
        <w:rPr>
          <w:rFonts w:ascii="Arial" w:cs="Arial" w:eastAsia="Arial" w:hAnsi="Arial"/>
          <w:sz w:val="20"/>
          <w:szCs w:val="20"/>
          <w:color w:val="auto"/>
        </w:rPr>
        <w:t>You may vote “for,” “against” or “abstain” on proposals 1, 2 and 3. Abstentions and broker non-votes are included in the determination of the number of shares present at the annual meeting for determining a quorum at the meeting, but they are not counted as shares cast. Accordingly, abstentions and broker non-votes, if any, would have no effect on the vote for any of the Proposals to be considered at the annual meeting, because these Proposals are based on a percentage of the votes that are actually cast at the annual meeting.</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Proposal 1 – Election of Four (4) Class II Directors</w:t>
      </w:r>
    </w:p>
    <w:p>
      <w:pPr>
        <w:spacing w:after="0" w:line="202" w:lineRule="exact"/>
        <w:rPr>
          <w:sz w:val="20"/>
          <w:szCs w:val="20"/>
          <w:color w:val="auto"/>
        </w:rPr>
      </w:pPr>
    </w:p>
    <w:p>
      <w:pPr>
        <w:ind w:left="120" w:right="80" w:firstLine="771"/>
        <w:spacing w:after="0" w:line="233" w:lineRule="auto"/>
        <w:rPr>
          <w:sz w:val="20"/>
          <w:szCs w:val="20"/>
          <w:color w:val="auto"/>
        </w:rPr>
      </w:pPr>
      <w:r>
        <w:rPr>
          <w:rFonts w:ascii="Arial" w:cs="Arial" w:eastAsia="Arial" w:hAnsi="Arial"/>
          <w:sz w:val="20"/>
          <w:szCs w:val="20"/>
          <w:color w:val="auto"/>
        </w:rPr>
        <w:t>With respect to the election of directors (Proposal 1), each nominee presented in Proposal 1 must be elected by a majority of the votes properly cast. Nominees are elected by a majority vote for non-contested director elections. Because the number of nominees properly nominated for the annual meeting is the same as the number of directors to be elected, the election of directors at this annual meeting is non-contested. If the number of votes FOR a nominee exceeds the number of votes AGAINST a nominee (among votes properly cast by stockholders who are either present online or represented by proxy), then the nominee will be elected.</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With respect to Proposal 1, you may:</w:t>
      </w:r>
    </w:p>
    <w:p>
      <w:pPr>
        <w:spacing w:after="0" w:line="229" w:lineRule="exact"/>
        <w:rPr>
          <w:sz w:val="20"/>
          <w:szCs w:val="20"/>
          <w:color w:val="auto"/>
        </w:rPr>
      </w:pPr>
    </w:p>
    <w:p>
      <w:pPr>
        <w:ind w:left="1320" w:hanging="435"/>
        <w:spacing w:after="0"/>
        <w:tabs>
          <w:tab w:leader="none" w:pos="13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vote FOR all nominees;</w:t>
      </w:r>
    </w:p>
    <w:p>
      <w:pPr>
        <w:spacing w:after="0" w:line="4" w:lineRule="exact"/>
        <w:rPr>
          <w:rFonts w:ascii="Arial" w:cs="Arial" w:eastAsia="Arial" w:hAnsi="Arial"/>
          <w:sz w:val="20"/>
          <w:szCs w:val="20"/>
          <w:color w:val="auto"/>
        </w:rPr>
      </w:pPr>
    </w:p>
    <w:p>
      <w:pPr>
        <w:ind w:left="1320" w:hanging="435"/>
        <w:spacing w:after="0" w:line="225" w:lineRule="auto"/>
        <w:tabs>
          <w:tab w:leader="none" w:pos="13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vote FOR one or more nominee(s) and AGAINST one or more of the other nominee(s);</w:t>
      </w:r>
    </w:p>
    <w:p>
      <w:pPr>
        <w:ind w:left="1320" w:hanging="435"/>
        <w:spacing w:after="0" w:line="225" w:lineRule="auto"/>
        <w:tabs>
          <w:tab w:leader="none" w:pos="13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vote AGAINST all nominees; or</w:t>
      </w:r>
    </w:p>
    <w:p>
      <w:pPr>
        <w:ind w:left="1320" w:hanging="435"/>
        <w:spacing w:after="0"/>
        <w:tabs>
          <w:tab w:leader="none" w:pos="13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ABSTAIN from voting for or against one or more nominee(s).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Proposal 2 – Non-binding Advisory Vote on the Compensation of Our Named Executive Officers</w:t>
      </w:r>
    </w:p>
    <w:p>
      <w:pPr>
        <w:spacing w:after="0" w:line="202" w:lineRule="exact"/>
        <w:rPr>
          <w:sz w:val="20"/>
          <w:szCs w:val="20"/>
          <w:color w:val="auto"/>
        </w:rPr>
      </w:pPr>
    </w:p>
    <w:p>
      <w:pPr>
        <w:ind w:left="120" w:right="20" w:firstLine="771"/>
        <w:spacing w:after="0" w:line="257" w:lineRule="auto"/>
        <w:rPr>
          <w:sz w:val="20"/>
          <w:szCs w:val="20"/>
          <w:color w:val="auto"/>
        </w:rPr>
      </w:pPr>
      <w:r>
        <w:rPr>
          <w:rFonts w:ascii="Arial" w:cs="Arial" w:eastAsia="Arial" w:hAnsi="Arial"/>
          <w:sz w:val="20"/>
          <w:szCs w:val="20"/>
          <w:color w:val="auto"/>
        </w:rPr>
        <w:t>To approve Proposal 3, stockholders holding a majority of the votes either cast on the matter online or by proxy at the annual meeting must vote FOR the approval of the compensation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220"/>
        <w:spacing w:after="0" w:line="257" w:lineRule="auto"/>
        <w:rPr>
          <w:sz w:val="20"/>
          <w:szCs w:val="20"/>
          <w:color w:val="auto"/>
        </w:rPr>
      </w:pPr>
      <w:r>
        <w:rPr>
          <w:rFonts w:ascii="Arial" w:cs="Arial" w:eastAsia="Arial" w:hAnsi="Arial"/>
          <w:sz w:val="20"/>
          <w:szCs w:val="20"/>
          <w:color w:val="auto"/>
        </w:rPr>
        <w:t>named executive officers, as described in the “Compensation Discussion and Analysis,” executive compensation tables and accompanying narrative disclosures in this proxy statement.</w:t>
      </w:r>
    </w:p>
    <w:p>
      <w:pPr>
        <w:spacing w:after="0" w:line="155" w:lineRule="exact"/>
        <w:rPr>
          <w:sz w:val="20"/>
          <w:szCs w:val="20"/>
          <w:color w:val="auto"/>
        </w:rPr>
      </w:pPr>
    </w:p>
    <w:p>
      <w:pPr>
        <w:jc w:val="both"/>
        <w:ind w:left="120" w:right="160" w:firstLine="771"/>
        <w:spacing w:after="0" w:line="237" w:lineRule="auto"/>
        <w:rPr>
          <w:sz w:val="20"/>
          <w:szCs w:val="20"/>
          <w:color w:val="auto"/>
        </w:rPr>
      </w:pPr>
      <w:r>
        <w:rPr>
          <w:rFonts w:ascii="Arial" w:cs="Arial" w:eastAsia="Arial" w:hAnsi="Arial"/>
          <w:sz w:val="20"/>
          <w:szCs w:val="20"/>
          <w:color w:val="auto"/>
        </w:rPr>
        <w:t>As an advisory vote, this proposal is not binding. The outcome of this advisory vote will not overrule any decision by us or our board of directors (or any committee thereof). However, our PC&amp;C committee and our board of directors value the opinions expressed by our stockholders in their vote on this proposal and will consider the outcome of the vote when making future compensation decisions for our named executive officers.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1D3060"/>
        </w:rPr>
        <w:t>Proposal 3 – Ratification of Appointment of Independent Auditors</w:t>
      </w:r>
    </w:p>
    <w:p>
      <w:pPr>
        <w:spacing w:after="0" w:line="202" w:lineRule="exact"/>
        <w:rPr>
          <w:sz w:val="20"/>
          <w:szCs w:val="20"/>
          <w:color w:val="auto"/>
        </w:rPr>
      </w:pPr>
    </w:p>
    <w:p>
      <w:pPr>
        <w:ind w:left="120" w:right="20" w:firstLine="771"/>
        <w:spacing w:after="0" w:line="257" w:lineRule="auto"/>
        <w:rPr>
          <w:sz w:val="20"/>
          <w:szCs w:val="20"/>
          <w:color w:val="auto"/>
        </w:rPr>
      </w:pPr>
      <w:r>
        <w:rPr>
          <w:rFonts w:ascii="Arial" w:cs="Arial" w:eastAsia="Arial" w:hAnsi="Arial"/>
          <w:sz w:val="20"/>
          <w:szCs w:val="20"/>
          <w:color w:val="auto"/>
        </w:rPr>
        <w:t>To approve Proposal 3, stockholders holding a majority of the votes either cast on the matter online or by proxy at the annual meeting must vote FOR the proposal.</w:t>
      </w:r>
    </w:p>
    <w:p>
      <w:pPr>
        <w:spacing w:after="0" w:line="155" w:lineRule="exact"/>
        <w:rPr>
          <w:sz w:val="20"/>
          <w:szCs w:val="20"/>
          <w:color w:val="auto"/>
        </w:rPr>
      </w:pPr>
    </w:p>
    <w:p>
      <w:pPr>
        <w:ind w:left="120" w:right="280" w:firstLine="771"/>
        <w:spacing w:after="0" w:line="234" w:lineRule="auto"/>
        <w:rPr>
          <w:sz w:val="20"/>
          <w:szCs w:val="20"/>
          <w:color w:val="auto"/>
        </w:rPr>
      </w:pPr>
      <w:r>
        <w:rPr>
          <w:rFonts w:ascii="Arial" w:cs="Arial" w:eastAsia="Arial" w:hAnsi="Arial"/>
          <w:sz w:val="20"/>
          <w:szCs w:val="20"/>
          <w:color w:val="auto"/>
        </w:rPr>
        <w:t>Although stockholder approval of our audit committee’s appointment of PricewaterhouseCoopers LLP as our independent auditors for the year ending December 31, 2024 is not required, we believe that it is advisable to give stockholders an opportunity to ratify this appointment. If this proposal is not approved at the annual meeting, our audit committee will reconsider its appointment of PricewaterhouseCoopers LLP as our independent auditors for the year ending December 31, 2024.</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Other Matters to be Voted On</w:t>
      </w:r>
    </w:p>
    <w:p>
      <w:pPr>
        <w:spacing w:after="0" w:line="204" w:lineRule="exact"/>
        <w:rPr>
          <w:sz w:val="20"/>
          <w:szCs w:val="20"/>
          <w:color w:val="auto"/>
        </w:rPr>
      </w:pPr>
    </w:p>
    <w:p>
      <w:pPr>
        <w:ind w:left="120" w:right="80" w:firstLine="771"/>
        <w:spacing w:after="0" w:line="234" w:lineRule="auto"/>
        <w:rPr>
          <w:sz w:val="20"/>
          <w:szCs w:val="20"/>
          <w:color w:val="auto"/>
        </w:rPr>
      </w:pPr>
      <w:r>
        <w:rPr>
          <w:rFonts w:ascii="Arial" w:cs="Arial" w:eastAsia="Arial" w:hAnsi="Arial"/>
          <w:sz w:val="20"/>
          <w:szCs w:val="20"/>
          <w:color w:val="auto"/>
        </w:rPr>
        <w:t>The board of directors is not aware of any other issue or matter that may come before the annual meeting other than the election of four (4) Class II directors, the non-binding advisory vote on the compensation of our named executive officers and the ratification of the appointment of our independent auditors. If any other matters are properly presented at the annual meeting, the persons named in the accompanying proxy intend to vote, or otherwise act, in accordance with their best judgment on the matter.</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Vote Results</w:t>
      </w:r>
    </w:p>
    <w:p>
      <w:pPr>
        <w:spacing w:after="0" w:line="204" w:lineRule="exact"/>
        <w:rPr>
          <w:sz w:val="20"/>
          <w:szCs w:val="20"/>
          <w:color w:val="auto"/>
        </w:rPr>
      </w:pPr>
    </w:p>
    <w:p>
      <w:pPr>
        <w:ind w:left="120" w:right="160" w:firstLine="771"/>
        <w:spacing w:after="0" w:line="234" w:lineRule="auto"/>
        <w:rPr>
          <w:sz w:val="20"/>
          <w:szCs w:val="20"/>
          <w:color w:val="auto"/>
        </w:rPr>
      </w:pPr>
      <w:r>
        <w:rPr>
          <w:rFonts w:ascii="Arial" w:cs="Arial" w:eastAsia="Arial" w:hAnsi="Arial"/>
          <w:sz w:val="20"/>
          <w:szCs w:val="20"/>
          <w:color w:val="auto"/>
        </w:rPr>
        <w:t>Preliminary voting results will be announced at the annual meeting. We expect to report the voting results in a Current Report on Form 8-K within four business days following the adjournment of our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to file an additional Current Report on Form 8-K to publish the final results.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Inspector of Election</w:t>
      </w:r>
    </w:p>
    <w:p>
      <w:pPr>
        <w:spacing w:after="0" w:line="204" w:lineRule="exact"/>
        <w:rPr>
          <w:sz w:val="20"/>
          <w:szCs w:val="20"/>
          <w:color w:val="auto"/>
        </w:rPr>
      </w:pPr>
    </w:p>
    <w:p>
      <w:pPr>
        <w:ind w:left="120" w:right="160" w:firstLine="771"/>
        <w:spacing w:after="0" w:line="257" w:lineRule="auto"/>
        <w:rPr>
          <w:sz w:val="20"/>
          <w:szCs w:val="20"/>
          <w:color w:val="auto"/>
        </w:rPr>
      </w:pPr>
      <w:r>
        <w:rPr>
          <w:rFonts w:ascii="Arial" w:cs="Arial" w:eastAsia="Arial" w:hAnsi="Arial"/>
          <w:sz w:val="20"/>
          <w:szCs w:val="20"/>
          <w:color w:val="auto"/>
        </w:rPr>
        <w:t>The inspector of election and the tabulator of all proxies, ballots and voting tabulations that identify stockholders are independent and are not Alnylam employees.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Cost of Soliciting Proxies</w:t>
      </w:r>
    </w:p>
    <w:p>
      <w:pPr>
        <w:spacing w:after="0" w:line="204" w:lineRule="exact"/>
        <w:rPr>
          <w:sz w:val="20"/>
          <w:szCs w:val="20"/>
          <w:color w:val="auto"/>
        </w:rPr>
      </w:pPr>
    </w:p>
    <w:p>
      <w:pPr>
        <w:jc w:val="both"/>
        <w:ind w:left="120" w:right="400" w:firstLine="551"/>
        <w:spacing w:after="0" w:line="241" w:lineRule="auto"/>
        <w:rPr>
          <w:sz w:val="20"/>
          <w:szCs w:val="20"/>
          <w:color w:val="auto"/>
        </w:rPr>
      </w:pPr>
      <w:r>
        <w:rPr>
          <w:rFonts w:ascii="Arial" w:cs="Arial" w:eastAsia="Arial" w:hAnsi="Arial"/>
          <w:sz w:val="20"/>
          <w:szCs w:val="20"/>
          <w:color w:val="auto"/>
        </w:rPr>
        <w:t>We will bear the cost of soliciting proxies. In addition to these proxy materials, our directors, officers and employees may solicit proxies by telephone, e-mail, facsimile and in person, without additional compensation. We have also retained Innisfree M&amp;A Incorporated to solicit proxies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200"/>
        <w:spacing w:after="0" w:line="237" w:lineRule="auto"/>
        <w:rPr>
          <w:sz w:val="20"/>
          <w:szCs w:val="20"/>
          <w:color w:val="auto"/>
        </w:rPr>
      </w:pPr>
      <w:r>
        <w:rPr>
          <w:rFonts w:ascii="Arial" w:cs="Arial" w:eastAsia="Arial" w:hAnsi="Arial"/>
          <w:sz w:val="20"/>
          <w:szCs w:val="20"/>
          <w:color w:val="auto"/>
        </w:rPr>
        <w:t>mail, courier, telephone and facsimile and to request brokers, custodians and fiduciaries to forward proxy soliciting materials to the owners of stock held in their names. For these services, we paid a fee of approximately $30,000, plus expenses. We may reimburse brokers or persons holding stock in their names, or in the names of their nominees, for their expenses in sending proxies and proxy materials to beneficial owners.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Alnylam’s 401(k) Savings Plan</w:t>
      </w:r>
    </w:p>
    <w:p>
      <w:pPr>
        <w:spacing w:after="0" w:line="204" w:lineRule="exact"/>
        <w:rPr>
          <w:sz w:val="20"/>
          <w:szCs w:val="20"/>
          <w:color w:val="auto"/>
        </w:rPr>
      </w:pPr>
    </w:p>
    <w:p>
      <w:pPr>
        <w:ind w:left="120" w:right="40" w:firstLine="771"/>
        <w:spacing w:after="0" w:line="231" w:lineRule="auto"/>
        <w:rPr>
          <w:sz w:val="20"/>
          <w:szCs w:val="20"/>
          <w:color w:val="auto"/>
        </w:rPr>
      </w:pPr>
      <w:r>
        <w:rPr>
          <w:rFonts w:ascii="Arial" w:cs="Arial" w:eastAsia="Arial" w:hAnsi="Arial"/>
          <w:sz w:val="20"/>
          <w:szCs w:val="20"/>
          <w:color w:val="auto"/>
        </w:rPr>
        <w:t>You may give voting instructions for the number of shares of Alnylam common stock equal to the interest in Alnylam common stock credited to your 401(k) plan account as of the record date. To vote these shares, complete and return the proxy card to Broadridge Financial Solutions, Inc. The 401(k) plan trustee will vote your shares according to your instructions. Only Broadridge and its affiliates or agents will have access to your individual voting instructions. You may revoke previously given voting instructions by filing with the trustee either a written revocation or a properly completed and signed proxy bearing a later date. To vote your 401(k) plan shares, you must provide your voting instructions to Broadridge before 11:59 p.m. ET on May 13, 2024. If you do not provide voting instructions to the 401(k) plan trustee, the 401(k) plan trustee will not vote your shares.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Householding of Annual Meeting Materials</w:t>
      </w:r>
    </w:p>
    <w:p>
      <w:pPr>
        <w:spacing w:after="0" w:line="204" w:lineRule="exact"/>
        <w:rPr>
          <w:sz w:val="20"/>
          <w:szCs w:val="20"/>
          <w:color w:val="auto"/>
        </w:rPr>
      </w:pPr>
    </w:p>
    <w:p>
      <w:pPr>
        <w:ind w:left="120" w:right="100" w:firstLine="771"/>
        <w:spacing w:after="0" w:line="231" w:lineRule="auto"/>
        <w:rPr>
          <w:sz w:val="20"/>
          <w:szCs w:val="20"/>
          <w:color w:val="auto"/>
        </w:rPr>
      </w:pPr>
      <w:r>
        <w:rPr>
          <w:rFonts w:ascii="Arial" w:cs="Arial" w:eastAsia="Arial" w:hAnsi="Arial"/>
          <w:sz w:val="20"/>
          <w:szCs w:val="20"/>
          <w:color w:val="auto"/>
        </w:rPr>
        <w:t>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We will promptly deliver a separate copy of either document to you upon written or oral request to Alnylam Pharmaceuticals, Inc., 675 West Kendall Street, Henri A. Termeer Square, Cambridge, Massachusetts 02142, Attention: Investor Relations and Corporate Communications, telephone: (617) 551-8200.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04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ADDITIONAL INFORMATION AND OTHER</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2275B5"/>
        </w:rPr>
        <w:t>MATTERS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right="5420"/>
        <w:spacing w:after="0" w:line="475" w:lineRule="auto"/>
        <w:rPr>
          <w:sz w:val="20"/>
          <w:szCs w:val="20"/>
          <w:color w:val="auto"/>
        </w:rPr>
      </w:pPr>
      <w:r>
        <w:rPr>
          <w:rFonts w:ascii="Arial" w:cs="Arial" w:eastAsia="Arial" w:hAnsi="Arial"/>
          <w:sz w:val="19"/>
          <w:szCs w:val="19"/>
          <w:b w:val="1"/>
          <w:bCs w:val="1"/>
          <w:color w:val="1D3060"/>
        </w:rPr>
        <w:t>CERTAIN RELATIONSHIPS AND RELATED TRANSACTIONS Policies and Procedures for Related Person Transactions</w:t>
      </w:r>
    </w:p>
    <w:p>
      <w:pPr>
        <w:spacing w:after="0" w:line="1" w:lineRule="exact"/>
        <w:rPr>
          <w:sz w:val="20"/>
          <w:szCs w:val="20"/>
          <w:color w:val="auto"/>
        </w:rPr>
      </w:pPr>
    </w:p>
    <w:p>
      <w:pPr>
        <w:ind w:left="120" w:right="40" w:firstLine="771"/>
        <w:spacing w:after="0" w:line="237" w:lineRule="auto"/>
        <w:rPr>
          <w:sz w:val="20"/>
          <w:szCs w:val="20"/>
          <w:color w:val="auto"/>
        </w:rPr>
      </w:pPr>
      <w:r>
        <w:rPr>
          <w:rFonts w:ascii="Arial" w:cs="Arial" w:eastAsia="Arial" w:hAnsi="Arial"/>
          <w:sz w:val="20"/>
          <w:szCs w:val="20"/>
          <w:color w:val="auto"/>
        </w:rPr>
        <w:t>Our board has adopted written policies and procedures for the review of any transaction, arrangement or relationship in which Alnylam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72" w:lineRule="exact"/>
        <w:rPr>
          <w:sz w:val="20"/>
          <w:szCs w:val="20"/>
          <w:color w:val="auto"/>
        </w:rPr>
      </w:pPr>
    </w:p>
    <w:p>
      <w:pPr>
        <w:ind w:left="120" w:right="60" w:firstLine="771"/>
        <w:spacing w:after="0" w:line="230" w:lineRule="auto"/>
        <w:rPr>
          <w:sz w:val="20"/>
          <w:szCs w:val="20"/>
          <w:color w:val="auto"/>
        </w:rPr>
      </w:pPr>
      <w:r>
        <w:rPr>
          <w:rFonts w:ascii="Arial" w:cs="Arial" w:eastAsia="Arial" w:hAnsi="Arial"/>
          <w:sz w:val="20"/>
          <w:szCs w:val="20"/>
          <w:color w:val="auto"/>
        </w:rPr>
        <w:t>If a related person proposes to enter into such a transaction, arrangement or relationship, which we refer to as a “related person transaction,” the related person must report the proposed related person transaction to our general counsel and our chief financial officer. The policy calls for the proposed related person transaction to be reviewed by our general counsel and/or our chief financial officer and, if deemed appropriate, approved by our audit committee. Whenever practicable, the reporting, review and approval will occur prior to entry into the transaction. If advance review and approval is not practicable, our audit committee will review, and, in its discretion, may ratify the related person transaction. The policy also permits the chair of our audit committee to review and, if deemed appropriate, approve proposed related person transactions that arise between committee meetings, subject to ratification by our audit committee at its next meeting. Any related person transactions that are ongoing in nature will be reviewed annually.</w:t>
      </w:r>
    </w:p>
    <w:p>
      <w:pPr>
        <w:spacing w:after="0" w:line="176" w:lineRule="exact"/>
        <w:rPr>
          <w:sz w:val="20"/>
          <w:szCs w:val="20"/>
          <w:color w:val="auto"/>
        </w:rPr>
      </w:pPr>
    </w:p>
    <w:p>
      <w:pPr>
        <w:ind w:left="120" w:right="340" w:firstLine="771"/>
        <w:spacing w:after="0" w:line="241" w:lineRule="auto"/>
        <w:rPr>
          <w:sz w:val="20"/>
          <w:szCs w:val="20"/>
          <w:color w:val="auto"/>
        </w:rPr>
      </w:pPr>
      <w:r>
        <w:rPr>
          <w:rFonts w:ascii="Arial" w:cs="Arial" w:eastAsia="Arial" w:hAnsi="Arial"/>
          <w:sz w:val="20"/>
          <w:szCs w:val="20"/>
          <w:color w:val="auto"/>
        </w:rPr>
        <w:t>A related person transaction reviewed under the policy will be considered approved or ratified if it is authorized by our audit committee after full disclosure of the related person’s interest in the transaction. As appropriate for the circumstances, our audit committee will review and consider:</w:t>
      </w:r>
    </w:p>
    <w:p>
      <w:pPr>
        <w:spacing w:after="0" w:line="198" w:lineRule="exact"/>
        <w:rPr>
          <w:sz w:val="20"/>
          <w:szCs w:val="20"/>
          <w:color w:val="auto"/>
        </w:rPr>
      </w:pPr>
    </w:p>
    <w:p>
      <w:pPr>
        <w:ind w:left="1320" w:hanging="435"/>
        <w:spacing w:after="0"/>
        <w:tabs>
          <w:tab w:leader="none" w:pos="13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related person’s interest in the related person transaction;</w:t>
      </w:r>
    </w:p>
    <w:p>
      <w:pPr>
        <w:spacing w:after="0" w:line="4" w:lineRule="exact"/>
        <w:rPr>
          <w:rFonts w:ascii="Arial" w:cs="Arial" w:eastAsia="Arial" w:hAnsi="Arial"/>
          <w:sz w:val="20"/>
          <w:szCs w:val="20"/>
          <w:color w:val="auto"/>
        </w:rPr>
      </w:pPr>
    </w:p>
    <w:p>
      <w:pPr>
        <w:ind w:left="1320" w:hanging="435"/>
        <w:spacing w:after="0" w:line="225" w:lineRule="auto"/>
        <w:tabs>
          <w:tab w:leader="none" w:pos="13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approximate dollar value of the amount involved in the related person transaction;</w:t>
      </w:r>
    </w:p>
    <w:p>
      <w:pPr>
        <w:ind w:left="1320" w:right="260" w:hanging="435"/>
        <w:spacing w:after="0" w:line="225" w:lineRule="auto"/>
        <w:tabs>
          <w:tab w:leader="none" w:pos="13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approximate dollar value of the amount of the related person’s interest in the transaction without regard to the amount of any profit or loss;</w:t>
      </w:r>
    </w:p>
    <w:p>
      <w:pPr>
        <w:ind w:left="1320" w:hanging="435"/>
        <w:spacing w:after="0" w:line="225" w:lineRule="auto"/>
        <w:tabs>
          <w:tab w:leader="none" w:pos="13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whether the transaction was undertaken in the ordinary course of our business;</w:t>
      </w:r>
    </w:p>
    <w:p>
      <w:pPr>
        <w:ind w:left="1320" w:right="240" w:hanging="435"/>
        <w:spacing w:after="0" w:line="225" w:lineRule="auto"/>
        <w:tabs>
          <w:tab w:leader="none" w:pos="13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whether the terms of the transaction are no less favorable to us than terms that could have been reached with an unrelated third party;</w:t>
      </w:r>
    </w:p>
    <w:p>
      <w:pPr>
        <w:ind w:left="1320" w:hanging="435"/>
        <w:spacing w:after="0" w:line="225" w:lineRule="auto"/>
        <w:tabs>
          <w:tab w:leader="none" w:pos="13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purpose of, and the potential benefits to us of, the transaction; and</w:t>
      </w:r>
    </w:p>
    <w:p>
      <w:pPr>
        <w:ind w:left="1320" w:right="740" w:hanging="435"/>
        <w:spacing w:after="0" w:line="234" w:lineRule="auto"/>
        <w:tabs>
          <w:tab w:leader="none" w:pos="13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73" w:lineRule="exact"/>
        <w:rPr>
          <w:sz w:val="20"/>
          <w:szCs w:val="20"/>
          <w:color w:val="auto"/>
        </w:rPr>
      </w:pPr>
    </w:p>
    <w:p>
      <w:pPr>
        <w:ind w:left="120" w:right="140" w:firstLine="771"/>
        <w:spacing w:after="0" w:line="241" w:lineRule="auto"/>
        <w:rPr>
          <w:sz w:val="20"/>
          <w:szCs w:val="20"/>
          <w:color w:val="auto"/>
        </w:rPr>
      </w:pPr>
      <w:r>
        <w:rPr>
          <w:rFonts w:ascii="Arial" w:cs="Arial" w:eastAsia="Arial" w:hAnsi="Arial"/>
          <w:sz w:val="20"/>
          <w:szCs w:val="20"/>
          <w:color w:val="auto"/>
        </w:rPr>
        <w:t>Our audit committee may approve or ratify the transaction if the committee determines that, under all of the circumstances, the transaction is not inconsistent with our best interests. Our audit committee may impose any conditions on the related person transaction that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100" w:firstLine="771"/>
        <w:spacing w:after="0" w:line="241" w:lineRule="auto"/>
        <w:rPr>
          <w:sz w:val="20"/>
          <w:szCs w:val="20"/>
          <w:color w:val="auto"/>
        </w:rPr>
      </w:pPr>
      <w:r>
        <w:rPr>
          <w:rFonts w:ascii="Arial" w:cs="Arial" w:eastAsia="Arial" w:hAnsi="Arial"/>
          <w:sz w:val="20"/>
          <w:szCs w:val="20"/>
          <w:color w:val="auto"/>
        </w:rPr>
        <w:t>In addition to related person transactions that are excluded by the instructions to the SEC’s related person transaction disclosure rule, our board has determined that the following transactions do not create a material direct or indirect interest on behalf of related persons and, therefore, are not related person transactions for purposes of this policy:</w:t>
      </w:r>
    </w:p>
    <w:p>
      <w:pPr>
        <w:spacing w:after="0" w:line="198" w:lineRule="exact"/>
        <w:rPr>
          <w:sz w:val="20"/>
          <w:szCs w:val="20"/>
          <w:color w:val="auto"/>
        </w:rPr>
      </w:pPr>
    </w:p>
    <w:p>
      <w:pPr>
        <w:ind w:left="1320" w:right="20" w:hanging="435"/>
        <w:spacing w:after="0" w:line="229" w:lineRule="auto"/>
        <w:tabs>
          <w:tab w:leader="none" w:pos="13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and (b) the related person and his or her immediate family members are not involved in the negotiation of the terms of the transaction and do not receive any special benefits as a result of the transaction; and</w:t>
      </w:r>
    </w:p>
    <w:p>
      <w:pPr>
        <w:ind w:left="1320" w:hanging="435"/>
        <w:spacing w:after="0"/>
        <w:tabs>
          <w:tab w:leader="none" w:pos="13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 transaction that is specifically contemplated by provisions of our Charter or bylaws.</w:t>
      </w:r>
    </w:p>
    <w:p>
      <w:pPr>
        <w:spacing w:after="0" w:line="184" w:lineRule="exact"/>
        <w:rPr>
          <w:sz w:val="20"/>
          <w:szCs w:val="20"/>
          <w:color w:val="auto"/>
        </w:rPr>
      </w:pPr>
    </w:p>
    <w:p>
      <w:pPr>
        <w:ind w:left="120" w:right="500" w:firstLine="771"/>
        <w:spacing w:after="0" w:line="257" w:lineRule="auto"/>
        <w:rPr>
          <w:sz w:val="20"/>
          <w:szCs w:val="20"/>
          <w:color w:val="auto"/>
        </w:rPr>
      </w:pPr>
      <w:r>
        <w:rPr>
          <w:rFonts w:ascii="Arial" w:cs="Arial" w:eastAsia="Arial" w:hAnsi="Arial"/>
          <w:sz w:val="20"/>
          <w:szCs w:val="20"/>
          <w:color w:val="auto"/>
        </w:rPr>
        <w:t>The policy provides that transactions involving the compensation of our executive officers shall be reviewed and approved by our PC&amp;C committee in the manner specified in its charter.</w:t>
      </w:r>
    </w:p>
    <w:p>
      <w:pPr>
        <w:spacing w:after="0" w:line="155" w:lineRule="exact"/>
        <w:rPr>
          <w:sz w:val="20"/>
          <w:szCs w:val="20"/>
          <w:color w:val="auto"/>
        </w:rPr>
      </w:pPr>
    </w:p>
    <w:p>
      <w:pPr>
        <w:ind w:left="120" w:right="300" w:firstLine="771"/>
        <w:spacing w:after="0" w:line="237" w:lineRule="auto"/>
        <w:rPr>
          <w:sz w:val="20"/>
          <w:szCs w:val="20"/>
          <w:color w:val="auto"/>
        </w:rPr>
      </w:pPr>
      <w:r>
        <w:rPr>
          <w:rFonts w:ascii="Arial" w:cs="Arial" w:eastAsia="Arial" w:hAnsi="Arial"/>
          <w:sz w:val="20"/>
          <w:szCs w:val="20"/>
          <w:color w:val="auto"/>
        </w:rPr>
        <w:t>In addition to the policy described above, we have adopted a number of internal procedures to assist with the identification and approval of any related person transactions, including annual questionnaires to our directors and officers, quarterly questionnaires to certain legal, human resource and finance personnel, and quarterly review with our audit committee and independent registered public accounting firm.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Related Person Transactions</w:t>
      </w:r>
    </w:p>
    <w:p>
      <w:pPr>
        <w:spacing w:after="0" w:line="96" w:lineRule="exact"/>
        <w:rPr>
          <w:sz w:val="20"/>
          <w:szCs w:val="20"/>
          <w:color w:val="auto"/>
        </w:rPr>
      </w:pPr>
    </w:p>
    <w:p>
      <w:pPr>
        <w:ind w:left="120" w:right="440" w:firstLine="771"/>
        <w:spacing w:after="0" w:line="257" w:lineRule="auto"/>
        <w:rPr>
          <w:sz w:val="20"/>
          <w:szCs w:val="20"/>
          <w:color w:val="auto"/>
        </w:rPr>
      </w:pPr>
      <w:r>
        <w:rPr>
          <w:rFonts w:ascii="Arial" w:cs="Arial" w:eastAsia="Arial" w:hAnsi="Arial"/>
          <w:sz w:val="20"/>
          <w:szCs w:val="20"/>
          <w:color w:val="auto"/>
        </w:rPr>
        <w:t>During 2023, we were not a participant in any transaction, nor is there any currently proposed transaction, that is currently reportable under Item 404(a) of Regulation S-K.</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OTHER MATTERS</w:t>
      </w:r>
    </w:p>
    <w:p>
      <w:pPr>
        <w:spacing w:after="0" w:line="96" w:lineRule="exact"/>
        <w:rPr>
          <w:sz w:val="20"/>
          <w:szCs w:val="20"/>
          <w:color w:val="auto"/>
        </w:rPr>
      </w:pPr>
    </w:p>
    <w:p>
      <w:pPr>
        <w:ind w:left="120" w:right="140" w:firstLine="771"/>
        <w:spacing w:after="0" w:line="241" w:lineRule="auto"/>
        <w:rPr>
          <w:sz w:val="20"/>
          <w:szCs w:val="20"/>
          <w:color w:val="auto"/>
        </w:rPr>
      </w:pPr>
      <w:r>
        <w:rPr>
          <w:rFonts w:ascii="Arial" w:cs="Arial" w:eastAsia="Arial" w:hAnsi="Arial"/>
          <w:sz w:val="20"/>
          <w:szCs w:val="20"/>
          <w:color w:val="auto"/>
        </w:rPr>
        <w:t>Our board of directors does not know of any other matters which may come before the meeting. However, if any other matters are properly presented to the meeting, it is the intention of the persons named in the accompanying proxy card to vote, or otherwise act, in accordance with their judgment on those matters.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D3060"/>
        </w:rPr>
        <w:t>STOCKHOLDER PROPOSALS</w:t>
      </w:r>
    </w:p>
    <w:p>
      <w:pPr>
        <w:spacing w:after="0" w:line="96" w:lineRule="exact"/>
        <w:rPr>
          <w:sz w:val="20"/>
          <w:szCs w:val="20"/>
          <w:color w:val="auto"/>
        </w:rPr>
      </w:pPr>
    </w:p>
    <w:p>
      <w:pPr>
        <w:ind w:left="120" w:right="160" w:firstLine="771"/>
        <w:spacing w:after="0" w:line="243" w:lineRule="auto"/>
        <w:rPr>
          <w:sz w:val="20"/>
          <w:szCs w:val="20"/>
          <w:color w:val="auto"/>
        </w:rPr>
      </w:pPr>
      <w:r>
        <w:rPr>
          <w:rFonts w:ascii="Arial" w:cs="Arial" w:eastAsia="Arial" w:hAnsi="Arial"/>
          <w:sz w:val="19"/>
          <w:szCs w:val="19"/>
          <w:color w:val="auto"/>
        </w:rPr>
        <w:t>In order to be included in the proxy materials for the 2025 annual meeting of stockholders, stockholders’ proposals must be received by us at our principal executive offices, 675 West Kendall Street, Henri A. Termeer Square, Cambridge, Massachusetts 02142 no later than December 3, 2024. We suggest that proponents submit their proposals by certified mail, return receipt requested, addressed to our Corporate Secretary. In addition, our bylaws require that we be given advance notice of stockholder nominations for election to our board of directors and of other matters which stockholders wish to present for action at an annual meeting of stockholders, other than matters included in our proxy statement. The required notice must be in writing and received by our corporate secretary at our principal offices not later than February 16, 2025 (90 days prior to the first anniversary of our 2024 annual meeting of stockholders) and not before January 17, 2025 (120 days prior to the first anniversary of our 2024 annual meeting of stockholders). However, if the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240"/>
        <w:spacing w:after="0" w:line="185" w:lineRule="auto"/>
        <w:rPr>
          <w:sz w:val="20"/>
          <w:szCs w:val="20"/>
          <w:color w:val="auto"/>
        </w:rPr>
      </w:pPr>
      <w:r>
        <w:rPr>
          <w:rFonts w:ascii="Arial" w:cs="Arial" w:eastAsia="Arial" w:hAnsi="Arial"/>
          <w:sz w:val="19"/>
          <w:szCs w:val="19"/>
          <w:color w:val="auto"/>
        </w:rPr>
        <w:t>annual meeting of stockholders is advanced by more than 20 days, or delayed by more than 60 days, from the first anniversary of the 2024 annual meeting of stockholders, notice must be received not earlier than the 120</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day prior to such annual meeting and not later than the close of business on the later of (1) the 90</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day prior to such annual meeting and</w:t>
      </w:r>
    </w:p>
    <w:p>
      <w:pPr>
        <w:spacing w:after="0" w:line="1" w:lineRule="exact"/>
        <w:rPr>
          <w:sz w:val="20"/>
          <w:szCs w:val="20"/>
          <w:color w:val="auto"/>
        </w:rPr>
      </w:pPr>
    </w:p>
    <w:p>
      <w:pPr>
        <w:ind w:left="120" w:right="240" w:hanging="4"/>
        <w:spacing w:after="0" w:line="195" w:lineRule="auto"/>
        <w:tabs>
          <w:tab w:leader="none" w:pos="417"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10</w:t>
      </w:r>
      <w:r>
        <w:rPr>
          <w:rFonts w:ascii="Arial" w:cs="Arial" w:eastAsia="Arial" w:hAnsi="Arial"/>
          <w:sz w:val="29"/>
          <w:szCs w:val="29"/>
          <w:color w:val="auto"/>
          <w:vertAlign w:val="superscript"/>
        </w:rPr>
        <w:t>th</w:t>
      </w:r>
      <w:r>
        <w:rPr>
          <w:rFonts w:ascii="Arial" w:cs="Arial" w:eastAsia="Arial" w:hAnsi="Arial"/>
          <w:sz w:val="20"/>
          <w:szCs w:val="20"/>
          <w:color w:val="auto"/>
        </w:rPr>
        <w:t xml:space="preserve"> day following the date on which notice of the date of such annual meeting was mailed or public disclosure of the date of such annual meeting was made, whichever occurs first.</w:t>
      </w:r>
    </w:p>
    <w:p>
      <w:pPr>
        <w:spacing w:after="0" w:line="172" w:lineRule="exact"/>
        <w:rPr>
          <w:sz w:val="20"/>
          <w:szCs w:val="20"/>
          <w:color w:val="auto"/>
        </w:rPr>
      </w:pPr>
    </w:p>
    <w:p>
      <w:pPr>
        <w:ind w:left="120" w:right="60" w:firstLine="771"/>
        <w:spacing w:after="0" w:line="237" w:lineRule="auto"/>
        <w:rPr>
          <w:sz w:val="20"/>
          <w:szCs w:val="20"/>
          <w:color w:val="auto"/>
        </w:rPr>
      </w:pPr>
      <w:r>
        <w:rPr>
          <w:rFonts w:ascii="Arial" w:cs="Arial" w:eastAsia="Arial" w:hAnsi="Arial"/>
          <w:sz w:val="20"/>
          <w:szCs w:val="20"/>
          <w:color w:val="auto"/>
        </w:rPr>
        <w:t>Our bylaws also specify requirements relating to the content of the notice which stockholders must provide, including a stockholder nomination for election to our board of directors, to be properly presented at the 2025 annual meeting of stockholders. Proxies solicited by the board will confer discretionary voting authority with respect to these proposals, subject to SEC rules governing the exercise of this authority.</w:t>
      </w:r>
    </w:p>
    <w:p>
      <w:pPr>
        <w:spacing w:after="0" w:line="172" w:lineRule="exact"/>
        <w:rPr>
          <w:sz w:val="20"/>
          <w:szCs w:val="20"/>
          <w:color w:val="auto"/>
        </w:rPr>
      </w:pPr>
    </w:p>
    <w:p>
      <w:pPr>
        <w:ind w:left="120" w:right="280" w:firstLine="771"/>
        <w:spacing w:after="0" w:line="241" w:lineRule="auto"/>
        <w:rPr>
          <w:sz w:val="20"/>
          <w:szCs w:val="20"/>
          <w:color w:val="auto"/>
        </w:rPr>
      </w:pPr>
      <w:r>
        <w:rPr>
          <w:rFonts w:ascii="Arial" w:cs="Arial" w:eastAsia="Arial" w:hAnsi="Arial"/>
          <w:sz w:val="20"/>
          <w:szCs w:val="20"/>
          <w:color w:val="auto"/>
        </w:rPr>
        <w:t>To comply with the universal proxy rules, stockholders who intend to solicit proxies in support of director nominees other than the company’s nominees must provide notice that sets forth the information required by Rule 14a-19 under the Exchange Act no later than 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137795</wp:posOffset>
            </wp:positionV>
            <wp:extent cx="6998970" cy="10496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8970" cy="1049655"/>
                    </a:xfrm>
                    <a:prstGeom prst="rect">
                      <a:avLst/>
                    </a:prstGeom>
                    <a:noFill/>
                  </pic:spPr>
                </pic:pic>
              </a:graphicData>
            </a:graphic>
          </wp:anchor>
        </w:drawing>
      </w:r>
    </w:p>
    <w:p>
      <w:pPr>
        <w:spacing w:after="0" w:line="379" w:lineRule="exact"/>
        <w:rPr>
          <w:sz w:val="20"/>
          <w:szCs w:val="20"/>
          <w:color w:val="auto"/>
        </w:rPr>
      </w:pPr>
    </w:p>
    <w:p>
      <w:pPr>
        <w:ind w:left="240" w:right="520" w:firstLine="754"/>
        <w:spacing w:after="0" w:line="235" w:lineRule="auto"/>
        <w:rPr>
          <w:sz w:val="20"/>
          <w:szCs w:val="20"/>
          <w:color w:val="auto"/>
        </w:rPr>
      </w:pPr>
      <w:r>
        <w:rPr>
          <w:rFonts w:ascii="Arial" w:cs="Arial" w:eastAsia="Arial" w:hAnsi="Arial"/>
          <w:sz w:val="20"/>
          <w:szCs w:val="20"/>
          <w:b w:val="1"/>
          <w:bCs w:val="1"/>
          <w:color w:val="1D3060"/>
        </w:rPr>
        <w:t>OUR BOARD OF DIRECTORS ENCOURAGES STOCKHOLDERS TO PARTICIPATE ONLINE IN OUR VIRTUAL ANNUAL MEETING. WHETHER OR NOT YOU PLAN TO PARTICIPATE IN THE VIRTUAL ANNUAL MEETING, YOU ARE URGED TO VOTE BY PROXY OVER THE INTERNET, BY TELEPHONE OR BY MAIL AS DESCRIBED IN THE ENCLOSED PROXY CARD. A PROMPT RESPONSE WILL GREATLY FACILITATE ARRANGEMENTS FOR THE VIRTUAL ANNUAL MEETING AND YOUR COOPERATION WILL BE APPRECIATED. YOU WILL NOT BE ABLE TO ATTEND THE ANNUAL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168275</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AA0D4"/>
        </w:rPr>
        <w:t>Page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505460" cy="1371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054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ALNYLAM PHARMACEUTICALS, INC.</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ATTN: 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675 West Kendall Street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Henri A. Termeer Square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CAMBRIDGE, MA 02142</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VOTE BY INTERNET</w:t>
      </w:r>
    </w:p>
    <w:p>
      <w:pPr>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www.proxyvote.com</w:t>
      </w:r>
    </w:p>
    <w:p>
      <w:pPr>
        <w:spacing w:after="0" w:line="95" w:lineRule="exact"/>
        <w:rPr>
          <w:sz w:val="20"/>
          <w:szCs w:val="20"/>
          <w:color w:val="auto"/>
        </w:rPr>
      </w:pPr>
    </w:p>
    <w:p>
      <w:pPr>
        <w:ind w:right="60"/>
        <w:spacing w:after="0" w:line="226" w:lineRule="auto"/>
        <w:rPr>
          <w:sz w:val="20"/>
          <w:szCs w:val="20"/>
          <w:color w:val="auto"/>
        </w:rPr>
      </w:pPr>
      <w:r>
        <w:rPr>
          <w:rFonts w:ascii="Arial" w:cs="Arial" w:eastAsia="Arial" w:hAnsi="Arial"/>
          <w:sz w:val="13"/>
          <w:szCs w:val="13"/>
          <w:color w:val="auto"/>
        </w:rPr>
        <w:t>Use the Internet to transmit your voting instructions and for electronic delivery of information. Vote by 11:59 p.m. Eastern Time on May 15, 2024 for shares held directly and by 11:59 p.m. Eastern Time on May 13, 2024 for shares held in a 401(k) Plan. Have your proxy card in hand when you access the web site and follow the instructions to obtain your records and to create an electronic voting instruction form.</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www.virtualshareholdermeeting.com/ALNY2024</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You may attend the meeting via the Internet and vote during the meeting. Have the information that is printed in the box marked by the arrow available and follow the instructions. There will be no physical location at which stockholders may attend the meeting.</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VOTE BY PHONE - 1-800-690-6903</w:t>
      </w:r>
    </w:p>
    <w:p>
      <w:pPr>
        <w:ind w:right="80"/>
        <w:spacing w:after="0" w:line="224" w:lineRule="auto"/>
        <w:rPr>
          <w:sz w:val="20"/>
          <w:szCs w:val="20"/>
          <w:color w:val="auto"/>
        </w:rPr>
      </w:pPr>
      <w:r>
        <w:rPr>
          <w:rFonts w:ascii="Arial" w:cs="Arial" w:eastAsia="Arial" w:hAnsi="Arial"/>
          <w:sz w:val="13"/>
          <w:szCs w:val="13"/>
          <w:color w:val="auto"/>
        </w:rPr>
        <w:t>Use any touch-tone telephone to transmit your voting instructions. Vote by 11:59 p.m. Eastern Time on May 15, 2024 for shares held directly and by 11:59 p.m. Eastern Time on May 13, 2024 for shares held in a 401(k) Plan. Have your proxy card in hand when you call and then follow the instructions.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VOTE BY MAIL</w:t>
      </w:r>
    </w:p>
    <w:p>
      <w:pPr>
        <w:ind w:right="260"/>
        <w:spacing w:after="0" w:line="226" w:lineRule="auto"/>
        <w:rPr>
          <w:sz w:val="20"/>
          <w:szCs w:val="20"/>
          <w:color w:val="auto"/>
        </w:rPr>
      </w:pPr>
      <w:r>
        <w:rPr>
          <w:rFonts w:ascii="Arial" w:cs="Arial" w:eastAsia="Arial" w:hAnsi="Arial"/>
          <w:sz w:val="13"/>
          <w:szCs w:val="13"/>
          <w:color w:val="auto"/>
        </w:rPr>
        <w:t>If you received printed proxy materials by hand, 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40" w:space="720"/>
            <w:col w:w="528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VOTE, MARK BLOCKS BELOW IN BLUE OR BLACK INK AS FOLLOWS:</w:t>
      </w:r>
    </w:p>
    <w:p>
      <w:pPr>
        <w:jc w:val="right"/>
        <w:spacing w:after="0"/>
        <w:tabs>
          <w:tab w:leader="none" w:pos="2600" w:val="left"/>
        </w:tabs>
        <w:rPr>
          <w:sz w:val="20"/>
          <w:szCs w:val="20"/>
          <w:color w:val="auto"/>
        </w:rPr>
      </w:pPr>
      <w:r>
        <w:rPr>
          <w:rFonts w:ascii="Arial" w:cs="Arial" w:eastAsia="Arial" w:hAnsi="Arial"/>
          <w:sz w:val="13"/>
          <w:szCs w:val="13"/>
          <w:color w:val="auto"/>
        </w:rPr>
        <w:t>E61195-P19478</w:t>
      </w:r>
      <w:r>
        <w:rPr>
          <w:sz w:val="20"/>
          <w:szCs w:val="20"/>
          <w:color w:val="auto"/>
        </w:rPr>
        <w:tab/>
      </w:r>
      <w:r>
        <w:rPr>
          <w:rFonts w:ascii="Arial" w:cs="Arial" w:eastAsia="Arial" w:hAnsi="Arial"/>
          <w:sz w:val="12"/>
          <w:szCs w:val="12"/>
          <w:color w:val="auto"/>
        </w:rPr>
        <w:t>KEEP THIS PORTION FOR YOUR RECORDS</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 —  — — — — — — — — — — — — — — — — — — — — — — — — — — — — — — — — — — — — — — — — — — — — — — — —</w:t>
      </w:r>
    </w:p>
    <w:p>
      <w:pPr>
        <w:jc w:val="right"/>
        <w:spacing w:after="0" w:line="237" w:lineRule="auto"/>
        <w:rPr>
          <w:sz w:val="20"/>
          <w:szCs w:val="20"/>
          <w:color w:val="auto"/>
        </w:rPr>
      </w:pPr>
      <w:r>
        <w:rPr>
          <w:rFonts w:ascii="Arial" w:cs="Arial" w:eastAsia="Arial" w:hAnsi="Arial"/>
          <w:sz w:val="13"/>
          <w:szCs w:val="13"/>
          <w:color w:val="auto"/>
        </w:rPr>
        <w:t>DETACH AND RETURN THIS PORTION ONLY</w:t>
      </w: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70485</wp:posOffset>
            </wp:positionV>
            <wp:extent cx="7003415" cy="35058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003415" cy="3505835"/>
                    </a:xfrm>
                    <a:prstGeom prst="rect">
                      <a:avLst/>
                    </a:prstGeom>
                    <a:noFill/>
                  </pic:spPr>
                </pic:pic>
              </a:graphicData>
            </a:graphic>
          </wp:anchor>
        </w:drawing>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ALNYLAM PHARMACEUTICALS, INC.</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 xml:space="preserve">Proposals — The Board of Directors recommends you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each of the listed director</w:t>
      </w:r>
    </w:p>
    <w:p>
      <w:pPr>
        <w:ind w:left="340"/>
        <w:spacing w:after="0"/>
        <w:rPr>
          <w:sz w:val="20"/>
          <w:szCs w:val="20"/>
          <w:color w:val="auto"/>
        </w:rPr>
      </w:pPr>
      <w:r>
        <w:rPr>
          <w:rFonts w:ascii="Arial" w:cs="Arial" w:eastAsia="Arial" w:hAnsi="Arial"/>
          <w:sz w:val="13"/>
          <w:szCs w:val="13"/>
          <w:b w:val="1"/>
          <w:bCs w:val="1"/>
          <w:color w:val="auto"/>
        </w:rPr>
        <w:t>nominees to serve for a term ending in 2027 and FOR Proposals 2 and 3.</w:t>
      </w:r>
    </w:p>
    <w:p>
      <w:pPr>
        <w:sectPr>
          <w:pgSz w:w="11900" w:h="16838" w:orient="portrait"/>
          <w:cols w:equalWidth="0" w:num="1">
            <w:col w:w="11140"/>
          </w:cols>
          <w:pgMar w:left="320" w:top="482" w:right="439" w:bottom="1440" w:gutter="0" w:footer="0" w:header="0"/>
          <w:type w:val="continuous"/>
        </w:sectPr>
      </w:pP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4560" w:type="dxa"/>
            <w:vAlign w:val="bottom"/>
          </w:tcPr>
          <w:p>
            <w:pPr>
              <w:spacing w:after="0"/>
              <w:rPr>
                <w:sz w:val="20"/>
                <w:szCs w:val="20"/>
                <w:color w:val="auto"/>
              </w:rPr>
            </w:pPr>
            <w:r>
              <w:rPr>
                <w:rFonts w:ascii="Arial" w:cs="Arial" w:eastAsia="Arial" w:hAnsi="Arial"/>
                <w:sz w:val="13"/>
                <w:szCs w:val="13"/>
                <w:color w:val="auto"/>
              </w:rPr>
              <w:t>1.      To elect the following nominees as Class II directors of Alnylam:</w:t>
            </w:r>
          </w:p>
        </w:tc>
        <w:tc>
          <w:tcPr>
            <w:tcW w:w="960" w:type="dxa"/>
            <w:vAlign w:val="bottom"/>
          </w:tcPr>
          <w:p>
            <w:pPr>
              <w:jc w:val="center"/>
              <w:ind w:left="537"/>
              <w:spacing w:after="0"/>
              <w:rPr>
                <w:sz w:val="20"/>
                <w:szCs w:val="20"/>
                <w:color w:val="auto"/>
              </w:rPr>
            </w:pPr>
            <w:r>
              <w:rPr>
                <w:rFonts w:ascii="Arial" w:cs="Arial" w:eastAsia="Arial" w:hAnsi="Arial"/>
                <w:sz w:val="13"/>
                <w:szCs w:val="13"/>
                <w:b w:val="1"/>
                <w:bCs w:val="1"/>
                <w:color w:val="auto"/>
                <w:w w:val="95"/>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60" w:type="dxa"/>
            <w:vAlign w:val="bottom"/>
          </w:tcPr>
          <w:p>
            <w:pPr>
              <w:jc w:val="center"/>
              <w:ind w:left="37"/>
              <w:spacing w:after="0"/>
              <w:rPr>
                <w:sz w:val="20"/>
                <w:szCs w:val="20"/>
                <w:color w:val="auto"/>
              </w:rPr>
            </w:pPr>
            <w:r>
              <w:rPr>
                <w:rFonts w:ascii="Arial" w:cs="Arial" w:eastAsia="Arial" w:hAnsi="Arial"/>
                <w:sz w:val="13"/>
                <w:szCs w:val="13"/>
                <w:b w:val="1"/>
                <w:bCs w:val="1"/>
                <w:color w:val="auto"/>
                <w:w w:val="96"/>
              </w:rPr>
              <w:t>Abstain</w:t>
            </w:r>
          </w:p>
        </w:tc>
      </w:tr>
      <w:tr>
        <w:trPr>
          <w:trHeight w:val="242"/>
        </w:trPr>
        <w:tc>
          <w:tcPr>
            <w:tcW w:w="4560" w:type="dxa"/>
            <w:vAlign w:val="bottom"/>
          </w:tcPr>
          <w:p>
            <w:pPr>
              <w:ind w:left="320"/>
              <w:spacing w:after="0"/>
              <w:rPr>
                <w:sz w:val="20"/>
                <w:szCs w:val="20"/>
                <w:color w:val="auto"/>
              </w:rPr>
            </w:pPr>
            <w:r>
              <w:rPr>
                <w:rFonts w:ascii="Arial" w:cs="Arial" w:eastAsia="Arial" w:hAnsi="Arial"/>
                <w:sz w:val="13"/>
                <w:szCs w:val="13"/>
                <w:color w:val="auto"/>
              </w:rPr>
              <w:t>  a.   Dennis A. Ausiello, M.D.</w:t>
            </w:r>
          </w:p>
        </w:tc>
        <w:tc>
          <w:tcPr>
            <w:tcW w:w="960" w:type="dxa"/>
            <w:vAlign w:val="bottom"/>
          </w:tcPr>
          <w:p>
            <w:pPr>
              <w:jc w:val="center"/>
              <w:ind w:left="537"/>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6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9"/>
        </w:trPr>
        <w:tc>
          <w:tcPr>
            <w:tcW w:w="4560" w:type="dxa"/>
            <w:vAlign w:val="bottom"/>
          </w:tcPr>
          <w:p>
            <w:pPr>
              <w:ind w:left="320"/>
              <w:spacing w:after="0"/>
              <w:rPr>
                <w:sz w:val="20"/>
                <w:szCs w:val="20"/>
                <w:color w:val="auto"/>
              </w:rPr>
            </w:pPr>
            <w:r>
              <w:rPr>
                <w:rFonts w:ascii="Arial" w:cs="Arial" w:eastAsia="Arial" w:hAnsi="Arial"/>
                <w:sz w:val="13"/>
                <w:szCs w:val="13"/>
                <w:color w:val="auto"/>
              </w:rPr>
              <w:t>  b.   Olivier Brandicourt, M.D.</w:t>
            </w:r>
          </w:p>
        </w:tc>
        <w:tc>
          <w:tcPr>
            <w:tcW w:w="960" w:type="dxa"/>
            <w:vAlign w:val="bottom"/>
          </w:tcPr>
          <w:p>
            <w:pPr>
              <w:jc w:val="center"/>
              <w:ind w:left="537"/>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6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30"/>
        </w:trPr>
        <w:tc>
          <w:tcPr>
            <w:tcW w:w="4560" w:type="dxa"/>
            <w:vAlign w:val="bottom"/>
          </w:tcPr>
          <w:p>
            <w:pPr>
              <w:ind w:left="320"/>
              <w:spacing w:after="0"/>
              <w:rPr>
                <w:sz w:val="20"/>
                <w:szCs w:val="20"/>
                <w:color w:val="auto"/>
              </w:rPr>
            </w:pPr>
            <w:r>
              <w:rPr>
                <w:rFonts w:ascii="Arial" w:cs="Arial" w:eastAsia="Arial" w:hAnsi="Arial"/>
                <w:sz w:val="13"/>
                <w:szCs w:val="13"/>
                <w:color w:val="auto"/>
              </w:rPr>
              <w:t>  c.   Peter N. Kellogg</w:t>
            </w:r>
          </w:p>
        </w:tc>
        <w:tc>
          <w:tcPr>
            <w:tcW w:w="960" w:type="dxa"/>
            <w:vAlign w:val="bottom"/>
          </w:tcPr>
          <w:p>
            <w:pPr>
              <w:jc w:val="center"/>
              <w:ind w:left="537"/>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6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30"/>
        </w:trPr>
        <w:tc>
          <w:tcPr>
            <w:tcW w:w="4560" w:type="dxa"/>
            <w:vAlign w:val="bottom"/>
          </w:tcPr>
          <w:p>
            <w:pPr>
              <w:ind w:left="320"/>
              <w:spacing w:after="0"/>
              <w:rPr>
                <w:sz w:val="20"/>
                <w:szCs w:val="20"/>
                <w:color w:val="auto"/>
              </w:rPr>
            </w:pPr>
            <w:r>
              <w:rPr>
                <w:rFonts w:ascii="Arial" w:cs="Arial" w:eastAsia="Arial" w:hAnsi="Arial"/>
                <w:sz w:val="13"/>
                <w:szCs w:val="13"/>
                <w:color w:val="auto"/>
              </w:rPr>
              <w:t>  d.   David E.I. Pyott</w:t>
            </w:r>
          </w:p>
        </w:tc>
        <w:tc>
          <w:tcPr>
            <w:tcW w:w="960" w:type="dxa"/>
            <w:vAlign w:val="bottom"/>
          </w:tcPr>
          <w:p>
            <w:pPr>
              <w:jc w:val="center"/>
              <w:ind w:left="537"/>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6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r>
    </w:tbl>
    <w:p>
      <w:pPr>
        <w:spacing w:after="0" w:line="34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2.      To approve, in a non-binding advisory vote, the compensation of Alnylam’s named executive officers.</w:t>
      </w:r>
    </w:p>
    <w:p>
      <w:pPr>
        <w:spacing w:after="0" w:line="200" w:lineRule="exact"/>
        <w:rPr>
          <w:sz w:val="20"/>
          <w:szCs w:val="20"/>
          <w:color w:val="auto"/>
        </w:rPr>
      </w:pPr>
    </w:p>
    <w:p>
      <w:pPr>
        <w:spacing w:after="0" w:line="326" w:lineRule="exact"/>
        <w:rPr>
          <w:sz w:val="20"/>
          <w:szCs w:val="20"/>
          <w:color w:val="auto"/>
        </w:rPr>
      </w:pPr>
    </w:p>
    <w:p>
      <w:pPr>
        <w:ind w:left="700" w:hanging="359"/>
        <w:spacing w:after="0" w:line="243" w:lineRule="auto"/>
        <w:rPr>
          <w:sz w:val="20"/>
          <w:szCs w:val="20"/>
          <w:color w:val="auto"/>
        </w:rPr>
      </w:pPr>
      <w:r>
        <w:rPr>
          <w:rFonts w:ascii="Arial" w:cs="Arial" w:eastAsia="Arial" w:hAnsi="Arial"/>
          <w:sz w:val="13"/>
          <w:szCs w:val="13"/>
          <w:color w:val="auto"/>
        </w:rPr>
        <w:t>3.    To ratify the appointment of PricewaterhouseCoopers LLP, an independent registered public accounting firm, as Alnylam’s independent auditors for the fiscal year ending December 31, 2024.</w:t>
      </w:r>
    </w:p>
    <w:p>
      <w:pPr>
        <w:spacing w:after="0" w:line="143" w:lineRule="exact"/>
        <w:rPr>
          <w:sz w:val="20"/>
          <w:szCs w:val="20"/>
          <w:color w:val="auto"/>
        </w:rPr>
      </w:pPr>
    </w:p>
    <w:p>
      <w:pPr>
        <w:ind w:left="340" w:right="640"/>
        <w:spacing w:after="0" w:line="243" w:lineRule="auto"/>
        <w:rPr>
          <w:sz w:val="20"/>
          <w:szCs w:val="20"/>
          <w:color w:val="auto"/>
        </w:rPr>
      </w:pPr>
      <w:r>
        <w:rPr>
          <w:rFonts w:ascii="Arial" w:cs="Arial" w:eastAsia="Arial" w:hAnsi="Arial"/>
          <w:sz w:val="13"/>
          <w:szCs w:val="13"/>
          <w:color w:val="auto"/>
        </w:rPr>
        <w:t>In their discretion, the Proxies are authorized to vote upon any other business that may properly come before the annual meeting or at any adjournment(s) thereof.</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340" w:val="left"/>
          <w:tab w:leader="none" w:pos="9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146" w:lineRule="exact"/>
        <w:rPr>
          <w:sz w:val="20"/>
          <w:szCs w:val="20"/>
          <w:color w:val="auto"/>
        </w:rPr>
      </w:pPr>
    </w:p>
    <w:p>
      <w:pPr>
        <w:ind w:left="40"/>
        <w:spacing w:after="0" w:line="131" w:lineRule="exact"/>
        <w:tabs>
          <w:tab w:leader="none" w:pos="50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344" w:lineRule="exact"/>
        <w:rPr>
          <w:sz w:val="20"/>
          <w:szCs w:val="20"/>
          <w:color w:val="auto"/>
        </w:rPr>
      </w:pPr>
    </w:p>
    <w:p>
      <w:pPr>
        <w:spacing w:after="0"/>
        <w:tabs>
          <w:tab w:leader="none" w:pos="340" w:val="left"/>
          <w:tab w:leader="none" w:pos="9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51" w:lineRule="exact"/>
        <w:rPr>
          <w:sz w:val="20"/>
          <w:szCs w:val="20"/>
          <w:color w:val="auto"/>
        </w:rPr>
      </w:pPr>
    </w:p>
    <w:p>
      <w:pPr>
        <w:ind w:left="40"/>
        <w:spacing w:after="0" w:line="131" w:lineRule="exact"/>
        <w:tabs>
          <w:tab w:leader="none" w:pos="50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833" w:lineRule="exact"/>
        <w:rPr>
          <w:sz w:val="20"/>
          <w:szCs w:val="20"/>
          <w:color w:val="auto"/>
        </w:rPr>
      </w:pPr>
    </w:p>
    <w:p>
      <w:pPr>
        <w:sectPr>
          <w:pgSz w:w="11900" w:h="16838" w:orient="portrait"/>
          <w:cols w:equalWidth="0" w:num="2">
            <w:col w:w="8680" w:space="480"/>
            <w:col w:w="1980"/>
          </w:cols>
          <w:pgMar w:left="320" w:top="482" w:right="43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280" w:right="4140"/>
        <w:spacing w:after="0" w:line="233"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89" w:lineRule="exact"/>
        <w:rPr>
          <w:sz w:val="20"/>
          <w:szCs w:val="20"/>
          <w:color w:val="auto"/>
        </w:rPr>
      </w:pPr>
    </w:p>
    <w:tbl>
      <w:tblPr>
        <w:tblLayout w:type="fixed"/>
        <w:tblInd w:w="280" w:type="dxa"/>
        <w:tblCellMar>
          <w:top w:w="0" w:type="dxa"/>
          <w:left w:w="0" w:type="dxa"/>
          <w:bottom w:w="0" w:type="dxa"/>
          <w:right w:w="0" w:type="dxa"/>
        </w:tblCellMar>
      </w:tblPr>
      <w:tr>
        <w:trPr>
          <w:trHeight w:val="250"/>
        </w:trPr>
        <w:tc>
          <w:tcPr>
            <w:tcW w:w="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 </w:t>
            </w:r>
          </w:p>
        </w:tc>
        <w:tc>
          <w:tcPr>
            <w:tcW w:w="6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 xml:space="preserve">             </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 xml:space="preserve">                               </w:t>
            </w:r>
          </w:p>
        </w:tc>
        <w:tc>
          <w:tcPr>
            <w:tcW w:w="1040" w:type="dxa"/>
            <w:vAlign w:val="bottom"/>
            <w:tcBorders>
              <w:top w:val="single" w:sz="8" w:color="auto"/>
              <w:bottom w:val="single" w:sz="8" w:color="auto"/>
              <w:right w:val="single" w:sz="8" w:color="auto"/>
            </w:tcBorders>
          </w:tcPr>
          <w:p>
            <w:pPr>
              <w:jc w:val="center"/>
              <w:ind w:right="657"/>
              <w:spacing w:after="0"/>
              <w:rPr>
                <w:sz w:val="20"/>
                <w:szCs w:val="20"/>
                <w:color w:val="auto"/>
              </w:rPr>
            </w:pPr>
            <w:r>
              <w:rPr>
                <w:rFonts w:ascii="Arial" w:cs="Arial" w:eastAsia="Arial" w:hAnsi="Arial"/>
                <w:sz w:val="13"/>
                <w:szCs w:val="13"/>
                <w:color w:val="auto"/>
              </w:rPr>
              <w:t xml:space="preserve">    </w:t>
            </w:r>
          </w:p>
        </w:tc>
        <w:tc>
          <w:tcPr>
            <w:tcW w:w="5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 xml:space="preserve">       </w:t>
            </w:r>
          </w:p>
        </w:tc>
        <w:tc>
          <w:tcPr>
            <w:tcW w:w="23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 xml:space="preserve">                                        </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 xml:space="preserve">          </w:t>
            </w:r>
          </w:p>
        </w:tc>
        <w:tc>
          <w:tcPr>
            <w:tcW w:w="24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 xml:space="preserve">                                        </w:t>
            </w:r>
          </w:p>
        </w:tc>
        <w:tc>
          <w:tcPr>
            <w:tcW w:w="5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 xml:space="preserve">       </w:t>
            </w:r>
          </w:p>
        </w:tc>
      </w:tr>
      <w:tr>
        <w:trPr>
          <w:trHeight w:val="202"/>
        </w:trPr>
        <w:tc>
          <w:tcPr>
            <w:tcW w:w="18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3"/>
                <w:szCs w:val="13"/>
                <w:color w:val="auto"/>
                <w:w w:val="96"/>
              </w:rPr>
              <w:t>Signature</w:t>
            </w:r>
          </w:p>
        </w:tc>
        <w:tc>
          <w:tcPr>
            <w:tcW w:w="1380" w:type="dxa"/>
            <w:vAlign w:val="bottom"/>
          </w:tcPr>
          <w:p>
            <w:pPr>
              <w:jc w:val="right"/>
              <w:spacing w:after="0"/>
              <w:rPr>
                <w:sz w:val="20"/>
                <w:szCs w:val="20"/>
                <w:color w:val="auto"/>
              </w:rPr>
            </w:pPr>
            <w:r>
              <w:rPr>
                <w:rFonts w:ascii="Arial" w:cs="Arial" w:eastAsia="Arial" w:hAnsi="Arial"/>
                <w:sz w:val="13"/>
                <w:szCs w:val="13"/>
                <w:color w:val="auto"/>
                <w:w w:val="96"/>
              </w:rPr>
              <w:t>[PLEASE SIGN WITHIN</w:t>
            </w:r>
          </w:p>
        </w:tc>
        <w:tc>
          <w:tcPr>
            <w:tcW w:w="1040" w:type="dxa"/>
            <w:vAlign w:val="bottom"/>
          </w:tcPr>
          <w:p>
            <w:pPr>
              <w:jc w:val="center"/>
              <w:ind w:right="637"/>
              <w:spacing w:after="0"/>
              <w:rPr>
                <w:sz w:val="20"/>
                <w:szCs w:val="20"/>
                <w:color w:val="auto"/>
              </w:rPr>
            </w:pPr>
            <w:r>
              <w:rPr>
                <w:rFonts w:ascii="Arial" w:cs="Arial" w:eastAsia="Arial" w:hAnsi="Arial"/>
                <w:sz w:val="13"/>
                <w:szCs w:val="13"/>
                <w:color w:val="auto"/>
                <w:w w:val="96"/>
              </w:rPr>
              <w:t>BOX]</w:t>
            </w:r>
          </w:p>
        </w:tc>
        <w:tc>
          <w:tcPr>
            <w:tcW w:w="580" w:type="dxa"/>
            <w:vAlign w:val="bottom"/>
          </w:tcPr>
          <w:p>
            <w:pPr>
              <w:ind w:left="60"/>
              <w:spacing w:after="0"/>
              <w:rPr>
                <w:sz w:val="20"/>
                <w:szCs w:val="20"/>
                <w:color w:val="auto"/>
              </w:rPr>
            </w:pPr>
            <w:r>
              <w:rPr>
                <w:rFonts w:ascii="Arial" w:cs="Arial" w:eastAsia="Arial" w:hAnsi="Arial"/>
                <w:sz w:val="13"/>
                <w:szCs w:val="13"/>
                <w:color w:val="auto"/>
              </w:rPr>
              <w:t>Date</w:t>
            </w:r>
          </w:p>
        </w:tc>
        <w:tc>
          <w:tcPr>
            <w:tcW w:w="2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Signature</w:t>
            </w:r>
          </w:p>
        </w:tc>
        <w:tc>
          <w:tcPr>
            <w:tcW w:w="2420" w:type="dxa"/>
            <w:vAlign w:val="bottom"/>
          </w:tcPr>
          <w:p>
            <w:pPr>
              <w:ind w:left="20"/>
              <w:spacing w:after="0"/>
              <w:rPr>
                <w:sz w:val="20"/>
                <w:szCs w:val="20"/>
                <w:color w:val="auto"/>
              </w:rPr>
            </w:pPr>
            <w:r>
              <w:rPr>
                <w:rFonts w:ascii="Arial" w:cs="Arial" w:eastAsia="Arial" w:hAnsi="Arial"/>
                <w:sz w:val="13"/>
                <w:szCs w:val="13"/>
                <w:color w:val="auto"/>
              </w:rPr>
              <w:t>(Joint Owners)</w:t>
            </w:r>
          </w:p>
        </w:tc>
        <w:tc>
          <w:tcPr>
            <w:tcW w:w="580" w:type="dxa"/>
            <w:vAlign w:val="bottom"/>
          </w:tcPr>
          <w:p>
            <w:pPr>
              <w:ind w:left="60"/>
              <w:spacing w:after="0"/>
              <w:rPr>
                <w:sz w:val="20"/>
                <w:szCs w:val="20"/>
                <w:color w:val="auto"/>
              </w:rPr>
            </w:pPr>
            <w:r>
              <w:rPr>
                <w:rFonts w:ascii="Arial" w:cs="Arial" w:eastAsia="Arial" w:hAnsi="Arial"/>
                <w:sz w:val="13"/>
                <w:szCs w:val="13"/>
                <w:color w:val="auto"/>
              </w:rPr>
              <w:t>Date</w:t>
            </w:r>
          </w:p>
        </w:tc>
      </w:tr>
    </w:tbl>
    <w:p>
      <w:pPr>
        <w:sectPr>
          <w:pgSz w:w="11900" w:h="16838" w:orient="portrait"/>
          <w:cols w:equalWidth="0" w:num="1">
            <w:col w:w="11140"/>
          </w:cols>
          <w:pgMar w:left="320" w:top="482" w:right="4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523240</wp:posOffset>
            </wp:positionV>
            <wp:extent cx="6021705" cy="10845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21705" cy="108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 the Virtual Annual Meeting of</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Stockholders to be Held on May 16, 2024:</w:t>
      </w:r>
    </w:p>
    <w:p>
      <w:pPr>
        <w:spacing w:after="0" w:line="302" w:lineRule="exact"/>
        <w:rPr>
          <w:sz w:val="20"/>
          <w:szCs w:val="20"/>
          <w:color w:val="auto"/>
        </w:rPr>
      </w:pPr>
    </w:p>
    <w:p>
      <w:pPr>
        <w:jc w:val="center"/>
        <w:ind w:left="460" w:right="880"/>
        <w:spacing w:after="0" w:line="281" w:lineRule="auto"/>
        <w:rPr>
          <w:sz w:val="20"/>
          <w:szCs w:val="20"/>
          <w:color w:val="auto"/>
        </w:rPr>
      </w:pPr>
      <w:r>
        <w:rPr>
          <w:rFonts w:ascii="Arial" w:cs="Arial" w:eastAsia="Arial" w:hAnsi="Arial"/>
          <w:sz w:val="18"/>
          <w:szCs w:val="18"/>
          <w:b w:val="1"/>
          <w:bCs w:val="1"/>
          <w:color w:val="auto"/>
        </w:rPr>
        <w:t xml:space="preserve">The Proxy Statement, our Annual Report on Form 10-K and our Annual Report to Stockholders are available for viewing, printing and downloading at </w:t>
      </w:r>
      <w:r>
        <w:rPr>
          <w:rFonts w:ascii="Arial" w:cs="Arial" w:eastAsia="Arial" w:hAnsi="Arial"/>
          <w:sz w:val="18"/>
          <w:szCs w:val="18"/>
          <w:b w:val="1"/>
          <w:bCs w:val="1"/>
          <w:i w:val="1"/>
          <w:iCs w:val="1"/>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 —  — — — — — — — — — — — — — — — — — — — — — — — — — — — — — — — — — — — — — — — — — — — — — — — —</w:t>
      </w:r>
    </w:p>
    <w:p>
      <w:pPr>
        <w:spacing w:after="0" w:line="20" w:lineRule="exact"/>
        <w:rPr>
          <w:sz w:val="20"/>
          <w:szCs w:val="20"/>
          <w:color w:val="auto"/>
        </w:rPr>
      </w:pPr>
    </w:p>
    <w:p>
      <w:pPr>
        <w:ind w:left="10100"/>
        <w:spacing w:after="0"/>
        <w:rPr>
          <w:sz w:val="20"/>
          <w:szCs w:val="20"/>
          <w:color w:val="auto"/>
        </w:rPr>
      </w:pPr>
      <w:r>
        <w:rPr>
          <w:rFonts w:ascii="Arial" w:cs="Arial" w:eastAsia="Arial" w:hAnsi="Arial"/>
          <w:sz w:val="13"/>
          <w:szCs w:val="13"/>
          <w:color w:val="auto"/>
        </w:rPr>
        <w:t>E61196-P19478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41910</wp:posOffset>
            </wp:positionV>
            <wp:extent cx="7003415" cy="34112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003415" cy="3411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Proxy — ALNYLAM PHARMACEUTICALS, INC.</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VIRTUAL ANNUAL MEETING OF STOCKHOLDERS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To be held on May 16, 2024 at 10:30 a.m., Eastern Time</w:t>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This Proxy is solicited on behalf of the Board of Directors of Alnylam Pharmaceuticals, Inc. (“Alnylam”).</w:t>
      </w:r>
    </w:p>
    <w:p>
      <w:pPr>
        <w:spacing w:after="0" w:line="106" w:lineRule="exact"/>
        <w:rPr>
          <w:sz w:val="20"/>
          <w:szCs w:val="20"/>
          <w:color w:val="auto"/>
        </w:rPr>
      </w:pPr>
    </w:p>
    <w:p>
      <w:pPr>
        <w:ind w:left="480" w:right="360"/>
        <w:spacing w:after="0" w:line="253" w:lineRule="auto"/>
        <w:rPr>
          <w:sz w:val="20"/>
          <w:szCs w:val="20"/>
          <w:color w:val="auto"/>
        </w:rPr>
      </w:pPr>
      <w:r>
        <w:rPr>
          <w:rFonts w:ascii="Arial" w:cs="Arial" w:eastAsia="Arial" w:hAnsi="Arial"/>
          <w:sz w:val="13"/>
          <w:szCs w:val="13"/>
          <w:b w:val="1"/>
          <w:bCs w:val="1"/>
          <w:color w:val="auto"/>
        </w:rPr>
        <w:t>The undersigned, having received notice of the annual meeting of stockholders and the proxy statement therefor and revoking all prior proxies, hereby appoints each of Yvonne L. Greenstreet, MBChB, Brett R. Budzinski and Jeffrey V. Poulton (each with full power of substitution), as Proxies of the undersigned, to participate in the annual meeting of stockholders of Alnylam to be held online at 10:30 a.m., Eastern Time, on Thursday, May 16, 2024, and any adjourned or postponed session thereof, and there to vote and act as indicated upon the matters on the reverse side in respect of all shares of common stock which the undersigned would be entitled to vote or act upon, with all powers the undersigned would possess if personally present.</w:t>
      </w:r>
    </w:p>
    <w:p>
      <w:pPr>
        <w:spacing w:after="0" w:line="63" w:lineRule="exact"/>
        <w:rPr>
          <w:sz w:val="20"/>
          <w:szCs w:val="20"/>
          <w:color w:val="auto"/>
        </w:rPr>
      </w:pPr>
    </w:p>
    <w:p>
      <w:pPr>
        <w:ind w:left="480" w:right="360"/>
        <w:spacing w:after="0" w:line="254" w:lineRule="auto"/>
        <w:rPr>
          <w:sz w:val="20"/>
          <w:szCs w:val="20"/>
          <w:color w:val="auto"/>
        </w:rPr>
      </w:pPr>
      <w:r>
        <w:rPr>
          <w:rFonts w:ascii="Arial" w:cs="Arial" w:eastAsia="Arial" w:hAnsi="Arial"/>
          <w:sz w:val="13"/>
          <w:szCs w:val="13"/>
          <w:b w:val="1"/>
          <w:bCs w:val="1"/>
          <w:color w:val="auto"/>
        </w:rPr>
        <w:t>You can revoke your proxy at any time before it is voted at the annual meeting by (i) submitting another properly completed proxy bearing a later date; (ii) giving written notice of revocation to the Secretary of Alnylam; (iii) if you submitted a proxy through the Internet or by telephone, by submitting a proxy again through the Internet or by telephone prior to the close of the Internet voting facility or the telephone voting facility; or (iv) voting online at the annual meeting. If you hold any of the shares of common stock in a fiduciary, custodial or joint capacity or capacities, this proxy is signed by you in every such capacity as well as individually.</w:t>
      </w:r>
    </w:p>
    <w:p>
      <w:pPr>
        <w:spacing w:after="0" w:line="218" w:lineRule="exact"/>
        <w:rPr>
          <w:sz w:val="20"/>
          <w:szCs w:val="20"/>
          <w:color w:val="auto"/>
        </w:rPr>
      </w:pPr>
    </w:p>
    <w:p>
      <w:pPr>
        <w:jc w:val="both"/>
        <w:ind w:left="480" w:right="300"/>
        <w:spacing w:after="0" w:line="267" w:lineRule="auto"/>
        <w:rPr>
          <w:sz w:val="20"/>
          <w:szCs w:val="20"/>
          <w:color w:val="auto"/>
        </w:rPr>
      </w:pPr>
      <w:r>
        <w:rPr>
          <w:rFonts w:ascii="Arial" w:cs="Arial" w:eastAsia="Arial" w:hAnsi="Arial"/>
          <w:sz w:val="13"/>
          <w:szCs w:val="13"/>
          <w:b w:val="1"/>
          <w:bCs w:val="1"/>
          <w:color w:val="auto"/>
        </w:rPr>
        <w:t>The shares of common stock of Alnylam represented by this proxy will be voted as directed by you for the proposals herein proposed by Alnylam. If no direction is given with respect to a proposal specified herein, this proxy will be voted in accordance with the recommendation of the Board of Directors. In their discretion, the Proxies are authorized to vote upon any other business that may properly come before the annual meeting or any adjournment(s) thereof.</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Please vote, date and sign on reverse side and return promptly in the enclosed pre-paid envelope.</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Your vote is important. Please vote immediately.</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CONTINUED AND TO BE SIGNED ON REVERSE SIDE</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SEE REVERSE SIDE</w:t>
      </w:r>
    </w:p>
    <w:sectPr>
      <w:pgSz w:w="11900" w:h="16838" w:orient="portrait"/>
      <w:cols w:equalWidth="0" w:num="1">
        <w:col w:w="11120"/>
      </w:cols>
      <w:pgMar w:left="320" w:top="48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
      <w:numFmt w:val="bullet"/>
      <w:start w:val="1"/>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1)"/>
      <w:numFmt w:val="decimal"/>
      <w:start w:val="2"/>
    </w:lvl>
  </w:abstractNum>
  <w:abstractNum w:abstractNumId="24">
    <w:nsid w:val="4B588F54"/>
    <w:multiLevelType w:val="hybridMultilevel"/>
    <w:lvl w:ilvl="0">
      <w:lvlJc w:val="left"/>
      <w:lvlText w:val="%1"/>
      <w:numFmt w:val="decimal"/>
      <w:start w:val="1"/>
    </w:lvl>
    <w:lvl w:ilvl="1">
      <w:lvlJc w:val="left"/>
      <w:lvlText w:val="(%2)"/>
      <w:numFmt w:val="lowerLetter"/>
      <w:start w:val="1"/>
    </w:lvl>
  </w:abstractNum>
  <w:abstractNum w:abstractNumId="25">
    <w:nsid w:val="542289EC"/>
    <w:multiLevelType w:val="hybridMultilevel"/>
    <w:lvl w:ilvl="0">
      <w:lvlJc w:val="left"/>
      <w:lvlText w:val="(%1)"/>
      <w:numFmt w:val="decimal"/>
      <w:start w:val="3"/>
    </w:lvl>
    <w:lvl w:ilvl="1">
      <w:lvlJc w:val="left"/>
      <w:lvlText w:val="%2"/>
      <w:numFmt w:val="lowerLetter"/>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7"/>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2"/>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4"/>
    </w:lvl>
  </w:abstractNum>
  <w:abstractNum w:abstractNumId="43">
    <w:nsid w:val="649BB77C"/>
    <w:multiLevelType w:val="hybridMultilevel"/>
    <w:lvl w:ilvl="0">
      <w:lvlJc w:val="left"/>
      <w:lvlText w:val="%1"/>
      <w:numFmt w:val="decimal"/>
      <w:start w:val="1"/>
    </w:lvl>
    <w:lvl w:ilvl="1">
      <w:lvlJc w:val="left"/>
      <w:lvlText w:val="(%2)"/>
      <w:numFmt w:val="lowerLetter"/>
      <w:start w:val="1"/>
    </w:lvl>
  </w:abstractNum>
  <w:abstractNum w:abstractNumId="44">
    <w:nsid w:val="275AC794"/>
    <w:multiLevelType w:val="hybridMultilevel"/>
    <w:lvl w:ilvl="0">
      <w:lvlJc w:val="left"/>
      <w:lvlText w:val="(%1)"/>
      <w:numFmt w:val="decimal"/>
      <w:start w:val="5"/>
    </w:lvl>
    <w:lvl w:ilvl="1">
      <w:lvlJc w:val="left"/>
      <w:lvlText w:val="%2"/>
      <w:numFmt w:val="lowerLetter"/>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6"/>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2"/>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lowerRoman"/>
      <w:start w:val="2"/>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2"/>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decimal"/>
      <w:start w:val="4"/>
    </w:lvl>
  </w:abstractNum>
  <w:abstractNum w:abstractNumId="59">
    <w:nsid w:val="579BE4F1"/>
    <w:multiLevelType w:val="hybridMultilevel"/>
    <w:lvl w:ilvl="0">
      <w:lvlJc w:val="left"/>
      <w:lvlText w:val="(%1)"/>
      <w:numFmt w:val="lowerLetter"/>
      <w:start w:val="1"/>
    </w:lvl>
    <w:lvl w:ilvl="1">
      <w:lvlJc w:val="left"/>
      <w:lvlText w:val="(%2)"/>
      <w:numFmt w:val="decimal"/>
      <w:start w:val="5"/>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
      <w:numFmt w:val="bullet"/>
      <w:start w:val="1"/>
    </w:lvl>
  </w:abstractNum>
  <w:abstractNum w:abstractNumId="65">
    <w:nsid w:val="4AD084E9"/>
    <w:multiLevelType w:val="hybridMultilevel"/>
    <w:lvl w:ilvl="0">
      <w:lvlJc w:val="left"/>
      <w:lvlText w:val="•"/>
      <w:numFmt w:val="bullet"/>
      <w:start w:val="1"/>
    </w:lvl>
  </w:abstractNum>
  <w:abstractNum w:abstractNumId="66">
    <w:nsid w:val="1F48EA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2024-04-07T19:52:04Z</dcterms:created>
  <dcterms:modified xsi:type="dcterms:W3CDTF">2024-04-07T19:52:04Z</dcterms:modified>
</cp:coreProperties>
</file>